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F098" w14:textId="5FFA74C1" w:rsidR="0012045F" w:rsidRDefault="0012045F" w:rsidP="0012045F">
      <w:pPr>
        <w:rPr>
          <w:b/>
          <w:bCs/>
          <w:sz w:val="24"/>
          <w:szCs w:val="24"/>
          <w:u w:val="single"/>
        </w:rPr>
      </w:pPr>
      <w:r w:rsidRPr="0012045F">
        <w:rPr>
          <w:b/>
          <w:bCs/>
          <w:sz w:val="24"/>
          <w:szCs w:val="24"/>
          <w:u w:val="single"/>
        </w:rPr>
        <w:t xml:space="preserve">Legislative Update for February </w:t>
      </w:r>
      <w:r w:rsidR="00101926">
        <w:rPr>
          <w:b/>
          <w:bCs/>
          <w:sz w:val="24"/>
          <w:szCs w:val="24"/>
          <w:u w:val="single"/>
        </w:rPr>
        <w:t>1</w:t>
      </w:r>
      <w:r w:rsidR="00A77A63">
        <w:rPr>
          <w:b/>
          <w:bCs/>
          <w:sz w:val="24"/>
          <w:szCs w:val="24"/>
          <w:u w:val="single"/>
          <w:vertAlign w:val="superscript"/>
        </w:rPr>
        <w:t>st</w:t>
      </w:r>
      <w:r w:rsidRPr="0012045F">
        <w:rPr>
          <w:b/>
          <w:bCs/>
          <w:sz w:val="24"/>
          <w:szCs w:val="24"/>
          <w:u w:val="single"/>
        </w:rPr>
        <w:t xml:space="preserve"> through February 12</w:t>
      </w:r>
      <w:r w:rsidRPr="0012045F">
        <w:rPr>
          <w:b/>
          <w:bCs/>
          <w:sz w:val="24"/>
          <w:szCs w:val="24"/>
          <w:u w:val="single"/>
          <w:vertAlign w:val="superscript"/>
        </w:rPr>
        <w:t>th</w:t>
      </w:r>
      <w:r w:rsidRPr="0012045F">
        <w:rPr>
          <w:b/>
          <w:bCs/>
          <w:sz w:val="24"/>
          <w:szCs w:val="24"/>
          <w:u w:val="single"/>
        </w:rPr>
        <w:t xml:space="preserve"> </w:t>
      </w:r>
    </w:p>
    <w:p w14:paraId="1F5947E5" w14:textId="01FCC3C1" w:rsidR="00CF5693" w:rsidRDefault="00CF5693" w:rsidP="00CF5693">
      <w:r>
        <w:t>Gov. Gretchen Whitmer released her budget recommendation for FY2022.  The budget recommendation, which totals $67.1 billion ($11.4 billion General Fund), was able to be increased due to federal dollars.  The budget focuses on five key areas:</w:t>
      </w:r>
    </w:p>
    <w:p w14:paraId="3F27D31D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Children and Public Education</w:t>
      </w:r>
    </w:p>
    <w:p w14:paraId="75DADED7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Largest investment in history</w:t>
      </w:r>
    </w:p>
    <w:p w14:paraId="68A3E01B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Reduce gap between highest and lowest-funded schools to only </w:t>
      </w:r>
      <w:proofErr w:type="gramStart"/>
      <w:r>
        <w:rPr>
          <w:rFonts w:eastAsia="Times New Roman"/>
        </w:rPr>
        <w:t>$336</w:t>
      </w:r>
      <w:proofErr w:type="gramEnd"/>
    </w:p>
    <w:p w14:paraId="71D94B57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$14.1M for </w:t>
      </w:r>
      <w:proofErr w:type="gramStart"/>
      <w:r>
        <w:rPr>
          <w:rFonts w:eastAsia="Times New Roman"/>
        </w:rPr>
        <w:t>economically disadvantaged</w:t>
      </w:r>
      <w:proofErr w:type="gramEnd"/>
      <w:r>
        <w:rPr>
          <w:rFonts w:eastAsia="Times New Roman"/>
        </w:rPr>
        <w:t xml:space="preserve"> school</w:t>
      </w:r>
    </w:p>
    <w:p w14:paraId="382C3926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$250m for research-based best practices on student recovery</w:t>
      </w:r>
    </w:p>
    <w:p w14:paraId="13993A0E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$200m one time to stop lower student </w:t>
      </w:r>
      <w:proofErr w:type="gramStart"/>
      <w:r>
        <w:rPr>
          <w:rFonts w:eastAsia="Times New Roman"/>
        </w:rPr>
        <w:t>enrollment</w:t>
      </w:r>
      <w:proofErr w:type="gramEnd"/>
    </w:p>
    <w:p w14:paraId="7854D6FE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$120 M Funding for summer learning and outside-school learning</w:t>
      </w:r>
    </w:p>
    <w:p w14:paraId="69C8B90B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$32m for Great Start Readiness.  The increase will go up to $8,275, same as foundation </w:t>
      </w:r>
      <w:proofErr w:type="gramStart"/>
      <w:r>
        <w:rPr>
          <w:rFonts w:eastAsia="Times New Roman"/>
        </w:rPr>
        <w:t>allowance</w:t>
      </w:r>
      <w:proofErr w:type="gramEnd"/>
    </w:p>
    <w:p w14:paraId="546FD50E" w14:textId="77777777" w:rsidR="00CF5693" w:rsidRDefault="00CF5693" w:rsidP="00CF5693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$70M One time funding increase for COVID-19 quarantines and testing</w:t>
      </w:r>
    </w:p>
    <w:p w14:paraId="614D4FCD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Economic Opportunity and Recovery</w:t>
      </w:r>
    </w:p>
    <w:p w14:paraId="6DFB63E1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$370m for expansion of childcare options by increasing the income eligibility </w:t>
      </w:r>
      <w:proofErr w:type="gramStart"/>
      <w:r>
        <w:rPr>
          <w:rFonts w:eastAsia="Times New Roman"/>
        </w:rPr>
        <w:t>threshold</w:t>
      </w:r>
      <w:proofErr w:type="gramEnd"/>
    </w:p>
    <w:p w14:paraId="6033AAF8" w14:textId="77777777" w:rsidR="00CF5693" w:rsidRDefault="00CF5693" w:rsidP="00CF5693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10% increase in hourly rates for childcare workers</w:t>
      </w:r>
    </w:p>
    <w:p w14:paraId="3932CC3A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$120m for Michigan </w:t>
      </w:r>
      <w:proofErr w:type="gramStart"/>
      <w:r>
        <w:rPr>
          <w:rFonts w:eastAsia="Times New Roman"/>
        </w:rPr>
        <w:t>Reconnect</w:t>
      </w:r>
      <w:proofErr w:type="gramEnd"/>
    </w:p>
    <w:p w14:paraId="6CD1A8A1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$60m </w:t>
      </w:r>
      <w:proofErr w:type="gramStart"/>
      <w:r>
        <w:rPr>
          <w:rFonts w:eastAsia="Times New Roman"/>
        </w:rPr>
        <w:t>one time</w:t>
      </w:r>
      <w:proofErr w:type="gramEnd"/>
      <w:r>
        <w:rPr>
          <w:rFonts w:eastAsia="Times New Roman"/>
        </w:rPr>
        <w:t xml:space="preserve"> Futures for </w:t>
      </w:r>
      <w:proofErr w:type="spellStart"/>
      <w:r>
        <w:rPr>
          <w:rFonts w:eastAsia="Times New Roman"/>
        </w:rPr>
        <w:t>Frontliners</w:t>
      </w:r>
      <w:proofErr w:type="spellEnd"/>
    </w:p>
    <w:p w14:paraId="423F2758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$15m one time for Going </w:t>
      </w:r>
      <w:proofErr w:type="gramStart"/>
      <w:r>
        <w:rPr>
          <w:rFonts w:eastAsia="Times New Roman"/>
        </w:rPr>
        <w:t>Pro</w:t>
      </w:r>
      <w:proofErr w:type="gramEnd"/>
    </w:p>
    <w:p w14:paraId="0BD52261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$3m for construction apprenticeships</w:t>
      </w:r>
    </w:p>
    <w:p w14:paraId="0A949AB0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$25</w:t>
      </w:r>
      <w:proofErr w:type="gramStart"/>
      <w:r>
        <w:rPr>
          <w:rFonts w:eastAsia="Times New Roman"/>
        </w:rPr>
        <w:t>M  Mobility</w:t>
      </w:r>
      <w:proofErr w:type="gramEnd"/>
      <w:r>
        <w:rPr>
          <w:rFonts w:eastAsia="Times New Roman"/>
        </w:rPr>
        <w:t xml:space="preserve"> investments</w:t>
      </w:r>
    </w:p>
    <w:p w14:paraId="01FF154D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$1m one time for Focus Hope</w:t>
      </w:r>
    </w:p>
    <w:p w14:paraId="31E0E9C4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Public Health</w:t>
      </w:r>
    </w:p>
    <w:p w14:paraId="1C74BFED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$360m for direct care worker wage increase, and to make the increase </w:t>
      </w:r>
      <w:proofErr w:type="gramStart"/>
      <w:r>
        <w:rPr>
          <w:rFonts w:eastAsia="Times New Roman"/>
        </w:rPr>
        <w:t>permanent</w:t>
      </w:r>
      <w:proofErr w:type="gramEnd"/>
    </w:p>
    <w:p w14:paraId="45F3A8A9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$60m one time for nursing homes to address lower revenues caused by decreased bed </w:t>
      </w:r>
      <w:proofErr w:type="gramStart"/>
      <w:r>
        <w:rPr>
          <w:rFonts w:eastAsia="Times New Roman"/>
        </w:rPr>
        <w:t>occupancy</w:t>
      </w:r>
      <w:proofErr w:type="gramEnd"/>
    </w:p>
    <w:p w14:paraId="2F9A32C3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$26.5m for neighborhood behavioral health</w:t>
      </w:r>
    </w:p>
    <w:p w14:paraId="499A34BC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$7.4M home visiting program</w:t>
      </w:r>
    </w:p>
    <w:p w14:paraId="3BE5FE98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$3.5m for enrollment in health services</w:t>
      </w:r>
    </w:p>
    <w:p w14:paraId="0164CF16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$6.7m for sickle cell disease initiative</w:t>
      </w:r>
    </w:p>
    <w:p w14:paraId="13692582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$8.4m to reduce health disparities through increasing community-based </w:t>
      </w:r>
      <w:proofErr w:type="gramStart"/>
      <w:r>
        <w:rPr>
          <w:rFonts w:eastAsia="Times New Roman"/>
        </w:rPr>
        <w:t>navigators</w:t>
      </w:r>
      <w:proofErr w:type="gramEnd"/>
    </w:p>
    <w:p w14:paraId="43D0ADA4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$19</w:t>
      </w:r>
      <w:proofErr w:type="gramStart"/>
      <w:r>
        <w:rPr>
          <w:rFonts w:eastAsia="Times New Roman"/>
        </w:rPr>
        <w:t xml:space="preserve">M  </w:t>
      </w:r>
      <w:proofErr w:type="spellStart"/>
      <w:r>
        <w:rPr>
          <w:rFonts w:eastAsia="Times New Roman"/>
        </w:rPr>
        <w:t>MiChoice</w:t>
      </w:r>
      <w:proofErr w:type="spellEnd"/>
      <w:proofErr w:type="gramEnd"/>
      <w:r>
        <w:rPr>
          <w:rFonts w:eastAsia="Times New Roman"/>
        </w:rPr>
        <w:t xml:space="preserve"> Waiver Expansion</w:t>
      </w:r>
    </w:p>
    <w:p w14:paraId="37A24183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$1.6m for race, equity, diversity, inclusion office in DHHS</w:t>
      </w:r>
    </w:p>
    <w:p w14:paraId="66B800F9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$10m one time for lead poisoning prevention fund</w:t>
      </w:r>
    </w:p>
    <w:p w14:paraId="3C0A4E1D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$5m one time for a pre-weatherization pilot program</w:t>
      </w:r>
    </w:p>
    <w:p w14:paraId="72637976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$15m for state psychiatric hospital special maintenance and capital improvements (all 5 hospitals)</w:t>
      </w:r>
    </w:p>
    <w:p w14:paraId="6D379648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Public Infrastructure</w:t>
      </w:r>
    </w:p>
    <w:p w14:paraId="088D3016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$300m for local bridge repairs and replacements – 120 bridges</w:t>
      </w:r>
    </w:p>
    <w:p w14:paraId="2B7A6D12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$290m for infrastructure grants for MI Clean Water plan (focus on sewers and wastewater)</w:t>
      </w:r>
    </w:p>
    <w:p w14:paraId="12B72468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$400 M Funding to address high water </w:t>
      </w:r>
      <w:proofErr w:type="gramStart"/>
      <w:r>
        <w:rPr>
          <w:rFonts w:eastAsia="Times New Roman"/>
        </w:rPr>
        <w:t>levels</w:t>
      </w:r>
      <w:proofErr w:type="gramEnd"/>
    </w:p>
    <w:p w14:paraId="16FC6D98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$15m for dam safety response</w:t>
      </w:r>
    </w:p>
    <w:p w14:paraId="6D052274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$20m to protect the state from cyber </w:t>
      </w:r>
      <w:proofErr w:type="gramStart"/>
      <w:r>
        <w:rPr>
          <w:rFonts w:eastAsia="Times New Roman"/>
        </w:rPr>
        <w:t>threats</w:t>
      </w:r>
      <w:proofErr w:type="gramEnd"/>
    </w:p>
    <w:p w14:paraId="7907ABDB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Environment</w:t>
      </w:r>
    </w:p>
    <w:p w14:paraId="3658EA2B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$20M for contaminated site cleanup</w:t>
      </w:r>
    </w:p>
    <w:p w14:paraId="0C1C45F9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$5m for the state facility green revolving fund</w:t>
      </w:r>
    </w:p>
    <w:p w14:paraId="33B50679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$5m to support purchase of propane tanks to meet energy </w:t>
      </w:r>
      <w:proofErr w:type="gramStart"/>
      <w:r>
        <w:rPr>
          <w:rFonts w:eastAsia="Times New Roman"/>
        </w:rPr>
        <w:t>needs</w:t>
      </w:r>
      <w:proofErr w:type="gramEnd"/>
    </w:p>
    <w:p w14:paraId="42C61F75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$5m to leverage private investment in green </w:t>
      </w:r>
      <w:proofErr w:type="gramStart"/>
      <w:r>
        <w:rPr>
          <w:rFonts w:eastAsia="Times New Roman"/>
        </w:rPr>
        <w:t>energy</w:t>
      </w:r>
      <w:proofErr w:type="gramEnd"/>
    </w:p>
    <w:p w14:paraId="45B19AA1" w14:textId="77777777" w:rsidR="00CF5693" w:rsidRDefault="00CF5693" w:rsidP="00CF569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Other:</w:t>
      </w:r>
    </w:p>
    <w:p w14:paraId="4985E522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Locals:</w:t>
      </w:r>
    </w:p>
    <w:p w14:paraId="30B4309B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Revenue sharing </w:t>
      </w:r>
      <w:proofErr w:type="gramStart"/>
      <w:r>
        <w:rPr>
          <w:rFonts w:eastAsia="Times New Roman"/>
        </w:rPr>
        <w:t>increase</w:t>
      </w:r>
      <w:proofErr w:type="gramEnd"/>
      <w:r>
        <w:rPr>
          <w:rFonts w:eastAsia="Times New Roman"/>
        </w:rPr>
        <w:t xml:space="preserve"> </w:t>
      </w:r>
    </w:p>
    <w:p w14:paraId="0BB96954" w14:textId="77777777" w:rsidR="00CF5693" w:rsidRDefault="00CF5693" w:rsidP="00CF5693">
      <w:pPr>
        <w:ind w:left="2160"/>
      </w:pPr>
      <w:r>
        <w:t>1.8% constitutional increase</w:t>
      </w:r>
    </w:p>
    <w:p w14:paraId="630A65C6" w14:textId="77777777" w:rsidR="00CF5693" w:rsidRDefault="00CF5693" w:rsidP="00CF5693">
      <w:r>
        <w:t>                                           2% statutory increase (includes counties)</w:t>
      </w:r>
    </w:p>
    <w:p w14:paraId="20EF47DB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$5M Training for new first responders</w:t>
      </w:r>
    </w:p>
    <w:p w14:paraId="16A457C1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Rainy day fund replacement</w:t>
      </w:r>
    </w:p>
    <w:p w14:paraId="39C74D9F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Venture Michigan 2 Fund payoff</w:t>
      </w:r>
    </w:p>
    <w:p w14:paraId="2DF9A3AE" w14:textId="77777777" w:rsidR="00CF5693" w:rsidRDefault="00CF5693" w:rsidP="00CF569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Clear debt to save $150m over next two </w:t>
      </w:r>
      <w:proofErr w:type="gramStart"/>
      <w:r>
        <w:rPr>
          <w:rFonts w:eastAsia="Times New Roman"/>
        </w:rPr>
        <w:t>FY’s</w:t>
      </w:r>
      <w:proofErr w:type="gramEnd"/>
    </w:p>
    <w:p w14:paraId="5D0918A9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$5m for capitol security upgrades</w:t>
      </w:r>
    </w:p>
    <w:p w14:paraId="4103EC0D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$12m for local trial courts for low-income defendants</w:t>
      </w:r>
    </w:p>
    <w:p w14:paraId="4E8394B3" w14:textId="77777777" w:rsidR="00CF5693" w:rsidRDefault="00CF5693" w:rsidP="00CF569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Proposed “tampon tax” repeal, $5m to hold SAF </w:t>
      </w:r>
      <w:proofErr w:type="gramStart"/>
      <w:r>
        <w:rPr>
          <w:rFonts w:eastAsia="Times New Roman"/>
        </w:rPr>
        <w:t>harmless</w:t>
      </w:r>
      <w:proofErr w:type="gramEnd"/>
      <w:r>
        <w:rPr>
          <w:rFonts w:eastAsia="Times New Roman"/>
        </w:rPr>
        <w:t xml:space="preserve"> </w:t>
      </w:r>
    </w:p>
    <w:p w14:paraId="28EC7909" w14:textId="77777777" w:rsidR="00CF5693" w:rsidRDefault="00CF5693" w:rsidP="00CF5693"/>
    <w:p w14:paraId="12EC183A" w14:textId="77777777" w:rsidR="00CF5693" w:rsidRDefault="00CF5693" w:rsidP="00CF5693"/>
    <w:p w14:paraId="066A2744" w14:textId="77777777" w:rsidR="00CF5693" w:rsidRDefault="00CF5693" w:rsidP="00CF5693">
      <w:pPr>
        <w:rPr>
          <w:sz w:val="24"/>
          <w:szCs w:val="24"/>
        </w:rPr>
      </w:pPr>
      <w:r>
        <w:rPr>
          <w:sz w:val="24"/>
          <w:szCs w:val="24"/>
        </w:rPr>
        <w:t>On February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Senate Majority Leader Mike </w:t>
      </w:r>
      <w:proofErr w:type="spellStart"/>
      <w:r>
        <w:rPr>
          <w:sz w:val="24"/>
          <w:szCs w:val="24"/>
        </w:rPr>
        <w:t>Shirkey</w:t>
      </w:r>
      <w:proofErr w:type="spellEnd"/>
      <w:r>
        <w:rPr>
          <w:sz w:val="24"/>
          <w:szCs w:val="24"/>
        </w:rPr>
        <w:t xml:space="preserve"> (R-Clarklake) was secretly recorded by Hillsdale County Republican Party Secretary John Smith calling the US Capitol riot a hoax.  Sen. </w:t>
      </w:r>
      <w:proofErr w:type="spellStart"/>
      <w:r>
        <w:rPr>
          <w:sz w:val="24"/>
          <w:szCs w:val="24"/>
        </w:rPr>
        <w:t>Shirkey</w:t>
      </w:r>
      <w:proofErr w:type="spellEnd"/>
      <w:r>
        <w:rPr>
          <w:sz w:val="24"/>
          <w:szCs w:val="24"/>
        </w:rPr>
        <w:t xml:space="preserve"> was also heard espousing other conspiracy theories. In the same video, he was heard saying he had “spanked” Gov. Whitmer on multiple political issues. Sen. </w:t>
      </w:r>
      <w:proofErr w:type="spellStart"/>
      <w:r>
        <w:rPr>
          <w:sz w:val="24"/>
          <w:szCs w:val="24"/>
        </w:rPr>
        <w:t>Shirkey’s</w:t>
      </w:r>
      <w:proofErr w:type="spellEnd"/>
      <w:r>
        <w:rPr>
          <w:sz w:val="24"/>
          <w:szCs w:val="24"/>
        </w:rPr>
        <w:t xml:space="preserve"> comments were related to the upcoming censure by the Hillsdale County GOP on the following day for not providing viable opposition to the Democrats. Sen. </w:t>
      </w:r>
      <w:proofErr w:type="spellStart"/>
      <w:r>
        <w:rPr>
          <w:sz w:val="24"/>
          <w:szCs w:val="24"/>
        </w:rPr>
        <w:t>Shirkey</w:t>
      </w:r>
      <w:proofErr w:type="spellEnd"/>
      <w:r>
        <w:rPr>
          <w:sz w:val="24"/>
          <w:szCs w:val="24"/>
        </w:rPr>
        <w:t xml:space="preserve"> quipped that it was a badge of honor and that the censure did not matter. After apologizing for his comments on the Capitol riot, Sen. </w:t>
      </w:r>
      <w:proofErr w:type="spellStart"/>
      <w:r>
        <w:rPr>
          <w:sz w:val="24"/>
          <w:szCs w:val="24"/>
        </w:rPr>
        <w:t>Shirkey</w:t>
      </w:r>
      <w:proofErr w:type="spellEnd"/>
      <w:r>
        <w:rPr>
          <w:sz w:val="24"/>
          <w:szCs w:val="24"/>
        </w:rPr>
        <w:t xml:space="preserve"> was caught on a hot microphone telling Lt. Gov. Garlin Gilchrist he does not take back the points he was trying to make. Various women’s groups, The Michigan Democratic Party, and a group of women Michigan lawmakers are calling for the senator to step down from his leadership role due to his comments captured on video.</w:t>
      </w:r>
    </w:p>
    <w:p w14:paraId="3171060A" w14:textId="77777777" w:rsidR="00CF5693" w:rsidRDefault="00CF5693" w:rsidP="00CF5693">
      <w:pPr>
        <w:rPr>
          <w:sz w:val="24"/>
          <w:szCs w:val="24"/>
        </w:rPr>
      </w:pPr>
    </w:p>
    <w:p w14:paraId="58017929" w14:textId="4D542708" w:rsidR="00CF5693" w:rsidRDefault="00CF5693" w:rsidP="00CF5693">
      <w:pPr>
        <w:rPr>
          <w:sz w:val="24"/>
          <w:szCs w:val="24"/>
        </w:rPr>
      </w:pPr>
      <w:r>
        <w:rPr>
          <w:sz w:val="24"/>
          <w:szCs w:val="24"/>
        </w:rPr>
        <w:t>On February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the advocacy group ‘Let Them Play Michigan’ filed a lawsuit against DHHS Director Elizabeth Hertel, claiming the state’s ban on winter contact sports is not backed by science.  On February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Gov. Whitmer announced that sports could resume the next Monday. She attributed this move to the state’s improved numbers with the coronavirus. Following the announcement, the group voluntarily dismissed lawsuit.</w:t>
      </w:r>
      <w:r w:rsidR="00B61057">
        <w:rPr>
          <w:sz w:val="24"/>
          <w:szCs w:val="24"/>
        </w:rPr>
        <w:t xml:space="preserve"> </w:t>
      </w:r>
    </w:p>
    <w:p w14:paraId="306A4276" w14:textId="5C1394A8" w:rsidR="00B61057" w:rsidRDefault="00B61057" w:rsidP="00CF5693">
      <w:pPr>
        <w:rPr>
          <w:b/>
          <w:bCs/>
          <w:sz w:val="24"/>
          <w:szCs w:val="24"/>
          <w:u w:val="single"/>
        </w:rPr>
      </w:pPr>
      <w:r w:rsidRPr="00B61057">
        <w:rPr>
          <w:b/>
          <w:bCs/>
          <w:sz w:val="24"/>
          <w:szCs w:val="24"/>
          <w:u w:val="single"/>
        </w:rPr>
        <w:t>Committees: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415"/>
      </w:tblGrid>
      <w:tr w:rsidR="001E7B4F" w:rsidRPr="001E7B4F" w14:paraId="7CA9EBA9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1623A0A1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Committee(s)</w:t>
            </w:r>
          </w:p>
        </w:tc>
        <w:tc>
          <w:tcPr>
            <w:tcW w:w="0" w:type="auto"/>
            <w:hideMark/>
          </w:tcPr>
          <w:p w14:paraId="6FD5EB1F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 Subcommittee on Licensing and Regulatory Affairs and Insurance and Financial Services</w:t>
            </w:r>
          </w:p>
        </w:tc>
      </w:tr>
      <w:tr w:rsidR="001E7B4F" w:rsidRPr="001E7B4F" w14:paraId="176876AF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1DC2A5B6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0" w:type="auto"/>
            <w:hideMark/>
          </w:tcPr>
          <w:p w14:paraId="4F5BFF92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Rep. Jeff Yaroch</w:t>
            </w:r>
          </w:p>
        </w:tc>
      </w:tr>
      <w:tr w:rsidR="001E7B4F" w:rsidRPr="001E7B4F" w14:paraId="04AD8C1D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1D9DC79B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Name</w:t>
            </w:r>
          </w:p>
        </w:tc>
        <w:tc>
          <w:tcPr>
            <w:tcW w:w="0" w:type="auto"/>
            <w:hideMark/>
          </w:tcPr>
          <w:p w14:paraId="48FF4958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0" w:history="1">
              <w:r w:rsidRPr="001E7B4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Marcus Coffin</w:t>
              </w:r>
            </w:hyperlink>
          </w:p>
        </w:tc>
      </w:tr>
      <w:tr w:rsidR="001E7B4F" w:rsidRPr="001E7B4F" w14:paraId="77047657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10E4F188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Phone</w:t>
            </w:r>
          </w:p>
        </w:tc>
        <w:tc>
          <w:tcPr>
            <w:tcW w:w="0" w:type="auto"/>
            <w:hideMark/>
          </w:tcPr>
          <w:p w14:paraId="3A129C57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517.373.8080</w:t>
            </w:r>
          </w:p>
        </w:tc>
      </w:tr>
      <w:tr w:rsidR="001E7B4F" w:rsidRPr="001E7B4F" w14:paraId="7B7104C5" w14:textId="77777777" w:rsidTr="001E7B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CE56A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839C616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Room 308, House Office Building, Lansing, MI</w:t>
            </w:r>
          </w:p>
        </w:tc>
      </w:tr>
      <w:tr w:rsidR="001E7B4F" w:rsidRPr="001E7B4F" w14:paraId="73C1DC06" w14:textId="77777777" w:rsidTr="001E7B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0E98C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1E9C785A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Thursday, 2/18/2021</w:t>
            </w:r>
          </w:p>
        </w:tc>
      </w:tr>
      <w:tr w:rsidR="001E7B4F" w:rsidRPr="001E7B4F" w14:paraId="739E6A23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6F22CF62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14:paraId="257AD086" w14:textId="77777777" w:rsidR="001E7B4F" w:rsidRP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9:00 AM</w:t>
            </w:r>
          </w:p>
        </w:tc>
      </w:tr>
      <w:tr w:rsidR="001E7B4F" w:rsidRPr="001E7B4F" w14:paraId="6DAD24C9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1F5AA92B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 Notes</w:t>
            </w:r>
          </w:p>
        </w:tc>
        <w:tc>
          <w:tcPr>
            <w:tcW w:w="0" w:type="auto"/>
            <w:hideMark/>
          </w:tcPr>
          <w:p w14:paraId="74189230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B4F" w:rsidRPr="001E7B4F" w14:paraId="17F7AB9D" w14:textId="77777777" w:rsidTr="001E7B4F">
        <w:trPr>
          <w:tblCellSpacing w:w="15" w:type="dxa"/>
        </w:trPr>
        <w:tc>
          <w:tcPr>
            <w:tcW w:w="0" w:type="auto"/>
            <w:hideMark/>
          </w:tcPr>
          <w:p w14:paraId="26691BD9" w14:textId="77777777" w:rsidR="001E7B4F" w:rsidRPr="001E7B4F" w:rsidRDefault="001E7B4F" w:rsidP="001E7B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0" w:type="auto"/>
            <w:hideMark/>
          </w:tcPr>
          <w:p w14:paraId="50692A14" w14:textId="77777777" w:rsidR="001E7B4F" w:rsidRDefault="001E7B4F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House Fiscal Agency Overview of DIFS and LARA FY 2021-22 Executive Budget Recommendations</w:t>
            </w: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1E7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Or any business properly before this committee.</w:t>
            </w:r>
          </w:p>
          <w:p w14:paraId="6751C455" w14:textId="77777777" w:rsidR="00E96292" w:rsidRDefault="00E96292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295E0BCE" w14:textId="6D801FD3" w:rsidR="00E96292" w:rsidRPr="001E7B4F" w:rsidRDefault="00E96292" w:rsidP="001E7B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E96292" w14:paraId="5ABD96FB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5A6BD9DE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Committee(s)</w:t>
            </w:r>
          </w:p>
        </w:tc>
        <w:tc>
          <w:tcPr>
            <w:tcW w:w="0" w:type="auto"/>
            <w:hideMark/>
          </w:tcPr>
          <w:p w14:paraId="76920458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Insurance</w:t>
            </w:r>
          </w:p>
        </w:tc>
      </w:tr>
      <w:tr w:rsidR="00E96292" w14:paraId="4E3716AA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3656147E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Chair</w:t>
            </w:r>
          </w:p>
        </w:tc>
        <w:tc>
          <w:tcPr>
            <w:tcW w:w="0" w:type="auto"/>
            <w:hideMark/>
          </w:tcPr>
          <w:p w14:paraId="1F5D0289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Rep. </w:t>
            </w:r>
            <w:proofErr w:type="spellStart"/>
            <w:r>
              <w:rPr>
                <w:rFonts w:ascii="Verdana" w:hAnsi="Verdana"/>
                <w:color w:val="000000"/>
              </w:rPr>
              <w:t>Daire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Rendon</w:t>
            </w:r>
          </w:p>
        </w:tc>
      </w:tr>
      <w:tr w:rsidR="00E96292" w14:paraId="22B9F844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326D49E1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Clerk Name</w:t>
            </w:r>
          </w:p>
        </w:tc>
        <w:tc>
          <w:tcPr>
            <w:tcW w:w="0" w:type="auto"/>
            <w:hideMark/>
          </w:tcPr>
          <w:p w14:paraId="25B81994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u w:val="none"/>
                </w:rPr>
                <w:t>Dakota Soda</w:t>
              </w:r>
            </w:hyperlink>
          </w:p>
        </w:tc>
      </w:tr>
      <w:tr w:rsidR="00E96292" w14:paraId="0255F04A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537616B4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Clerk Phone</w:t>
            </w:r>
          </w:p>
        </w:tc>
        <w:tc>
          <w:tcPr>
            <w:tcW w:w="0" w:type="auto"/>
            <w:hideMark/>
          </w:tcPr>
          <w:p w14:paraId="7451D499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517.373.0350</w:t>
            </w:r>
          </w:p>
        </w:tc>
      </w:tr>
      <w:tr w:rsidR="00E96292" w14:paraId="67BB395D" w14:textId="77777777" w:rsidTr="00E962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0005B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534A62C0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Room 352, House Appropriations, State Capitol Building, Lansing, MI</w:t>
            </w:r>
          </w:p>
        </w:tc>
      </w:tr>
      <w:tr w:rsidR="00E96292" w14:paraId="236362F1" w14:textId="77777777" w:rsidTr="00E962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487EB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212F01C3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Thursday, 2/18/2021</w:t>
            </w:r>
          </w:p>
        </w:tc>
      </w:tr>
      <w:tr w:rsidR="00E96292" w14:paraId="3A1B1787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36D78DDE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hideMark/>
          </w:tcPr>
          <w:p w14:paraId="066A6115" w14:textId="77777777" w:rsidR="00E96292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9:00 AM</w:t>
            </w:r>
          </w:p>
        </w:tc>
      </w:tr>
      <w:tr w:rsidR="00E96292" w14:paraId="5CE4B5FB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3C627906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Time Notes</w:t>
            </w:r>
          </w:p>
        </w:tc>
        <w:tc>
          <w:tcPr>
            <w:tcW w:w="0" w:type="auto"/>
            <w:hideMark/>
          </w:tcPr>
          <w:p w14:paraId="28C9B2FF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E96292" w14:paraId="7CFF63D0" w14:textId="77777777" w:rsidTr="00E96292">
        <w:trPr>
          <w:tblCellSpacing w:w="15" w:type="dxa"/>
        </w:trPr>
        <w:tc>
          <w:tcPr>
            <w:tcW w:w="0" w:type="auto"/>
            <w:hideMark/>
          </w:tcPr>
          <w:p w14:paraId="4D2633C0" w14:textId="77777777" w:rsidR="00E96292" w:rsidRDefault="00E96292" w:rsidP="0055735D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Agenda</w:t>
            </w:r>
          </w:p>
        </w:tc>
        <w:tc>
          <w:tcPr>
            <w:tcW w:w="0" w:type="auto"/>
            <w:hideMark/>
          </w:tcPr>
          <w:p w14:paraId="4D9C3739" w14:textId="0B4095B8" w:rsidR="0055735D" w:rsidRDefault="00E96292" w:rsidP="0055735D">
            <w:pPr>
              <w:spacing w:after="0"/>
              <w:rPr>
                <w:rFonts w:ascii="Verdana" w:hAnsi="Verdana"/>
                <w:color w:val="000000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u w:val="none"/>
                </w:rPr>
                <w:t>HB 4171</w:t>
              </w:r>
            </w:hyperlink>
            <w:r>
              <w:rPr>
                <w:rFonts w:ascii="Verdana" w:hAnsi="Verdana"/>
                <w:color w:val="000000"/>
              </w:rPr>
              <w:t xml:space="preserve"> (Rep. Sue Allor) Worker's compensation: disabilities; occupational cancer; extend presumption of causation to </w:t>
            </w:r>
            <w:r>
              <w:rPr>
                <w:rFonts w:ascii="Verdana" w:hAnsi="Verdana"/>
                <w:color w:val="000000"/>
              </w:rPr>
              <w:lastRenderedPageBreak/>
              <w:t>fire/crash rescue officers and forest fire officers.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Verdana" w:hAnsi="Verdana"/>
                  <w:u w:val="none"/>
                </w:rPr>
                <w:t>HB 4172</w:t>
              </w:r>
            </w:hyperlink>
            <w:r>
              <w:rPr>
                <w:rFonts w:ascii="Verdana" w:hAnsi="Verdana"/>
                <w:color w:val="000000"/>
              </w:rPr>
              <w:t> (Rep. Jeff Yaroch) Worker's compensation: disabilities; certain occupational diseases; extend presumption of causation to part-time, paid on-call, and volunteer firefighters.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  <w:t>Or any business properly before this committee.</w:t>
            </w:r>
          </w:p>
        </w:tc>
      </w:tr>
    </w:tbl>
    <w:p w14:paraId="763AD2BC" w14:textId="77777777" w:rsidR="00B61057" w:rsidRPr="00B61057" w:rsidRDefault="00B61057" w:rsidP="0055735D">
      <w:pPr>
        <w:spacing w:after="0"/>
        <w:rPr>
          <w:b/>
          <w:bCs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415"/>
      </w:tblGrid>
      <w:tr w:rsidR="006E41DA" w:rsidRPr="006E41DA" w14:paraId="5659ECD0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673DB45C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Committee(s)</w:t>
            </w:r>
          </w:p>
        </w:tc>
        <w:tc>
          <w:tcPr>
            <w:tcW w:w="0" w:type="auto"/>
            <w:hideMark/>
          </w:tcPr>
          <w:p w14:paraId="453D28FB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Local Government and Municipal Finance</w:t>
            </w:r>
          </w:p>
        </w:tc>
      </w:tr>
      <w:tr w:rsidR="006E41DA" w:rsidRPr="006E41DA" w14:paraId="2DADC572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52DEDA47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0" w:type="auto"/>
            <w:hideMark/>
          </w:tcPr>
          <w:p w14:paraId="4A68B327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Rep. Julie A. Calley</w:t>
            </w:r>
          </w:p>
        </w:tc>
      </w:tr>
      <w:tr w:rsidR="006E41DA" w:rsidRPr="006E41DA" w14:paraId="2B3D6A60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7E7C7DED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Name</w:t>
            </w:r>
          </w:p>
        </w:tc>
        <w:tc>
          <w:tcPr>
            <w:tcW w:w="0" w:type="auto"/>
            <w:hideMark/>
          </w:tcPr>
          <w:p w14:paraId="08F7F34C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4" w:history="1">
              <w:r w:rsidRPr="006E41D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Molly </w:t>
              </w:r>
              <w:proofErr w:type="spellStart"/>
              <w:r w:rsidRPr="006E41D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Wingrove</w:t>
              </w:r>
              <w:proofErr w:type="spellEnd"/>
            </w:hyperlink>
          </w:p>
        </w:tc>
      </w:tr>
      <w:tr w:rsidR="006E41DA" w:rsidRPr="006E41DA" w14:paraId="50E6A35C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6E26AE74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Phone</w:t>
            </w:r>
          </w:p>
        </w:tc>
        <w:tc>
          <w:tcPr>
            <w:tcW w:w="0" w:type="auto"/>
            <w:hideMark/>
          </w:tcPr>
          <w:p w14:paraId="5CFF8037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517.373.5024</w:t>
            </w:r>
          </w:p>
        </w:tc>
      </w:tr>
      <w:tr w:rsidR="006E41DA" w:rsidRPr="006E41DA" w14:paraId="074881EE" w14:textId="77777777" w:rsidTr="006E41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5D10C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F017DEB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Room 519, House Office Building, Lansing, MI</w:t>
            </w:r>
          </w:p>
        </w:tc>
      </w:tr>
      <w:tr w:rsidR="006E41DA" w:rsidRPr="006E41DA" w14:paraId="3048138B" w14:textId="77777777" w:rsidTr="006E41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D4DF9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2A94FA03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Wednesday, 2/17/2021</w:t>
            </w:r>
          </w:p>
        </w:tc>
      </w:tr>
      <w:tr w:rsidR="006E41DA" w:rsidRPr="006E41DA" w14:paraId="509A276D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582275CA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14:paraId="3D0DAC5C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6E41DA" w:rsidRPr="006E41DA" w14:paraId="21535603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44E770EA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 Notes</w:t>
            </w:r>
          </w:p>
        </w:tc>
        <w:tc>
          <w:tcPr>
            <w:tcW w:w="0" w:type="auto"/>
            <w:hideMark/>
          </w:tcPr>
          <w:p w14:paraId="7DE3A58F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1DA" w:rsidRPr="006E41DA" w14:paraId="3C31C084" w14:textId="77777777" w:rsidTr="006E41DA">
        <w:trPr>
          <w:tblCellSpacing w:w="15" w:type="dxa"/>
        </w:trPr>
        <w:tc>
          <w:tcPr>
            <w:tcW w:w="0" w:type="auto"/>
            <w:hideMark/>
          </w:tcPr>
          <w:p w14:paraId="15177CB2" w14:textId="77777777" w:rsidR="006E41DA" w:rsidRPr="006E41DA" w:rsidRDefault="006E41DA" w:rsidP="006E41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E41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0" w:type="auto"/>
            <w:hideMark/>
          </w:tcPr>
          <w:p w14:paraId="411776B4" w14:textId="77777777" w:rsidR="006E41DA" w:rsidRPr="006E41DA" w:rsidRDefault="006E41DA" w:rsidP="006E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5" w:history="1">
              <w:r w:rsidRPr="006E41D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SB 16</w:t>
              </w:r>
            </w:hyperlink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(Sen. Dale W. Zorn) Housing: inspection; change of ownership; exclude certain transfers.</w:t>
            </w: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6E41D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SB 17</w:t>
              </w:r>
            </w:hyperlink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(Sen. Dale W. Zorn) Public employees and officers: other; </w:t>
            </w:r>
            <w:hyperlink r:id="rId17" w:history="1">
              <w:r w:rsidRPr="006E41D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1968 PA 317</w:t>
              </w:r>
            </w:hyperlink>
            <w:r w:rsidRPr="006E41D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regarding contracts of public servants with public entities; modify certain population thresholds.</w:t>
            </w:r>
          </w:p>
        </w:tc>
      </w:tr>
    </w:tbl>
    <w:p w14:paraId="23783395" w14:textId="070ABAD1" w:rsidR="0055735D" w:rsidRDefault="0055735D" w:rsidP="0012045F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415"/>
      </w:tblGrid>
      <w:tr w:rsidR="00700267" w:rsidRPr="00700267" w14:paraId="4C4FB82B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02DAA657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Committee(s)</w:t>
            </w:r>
          </w:p>
        </w:tc>
        <w:tc>
          <w:tcPr>
            <w:tcW w:w="0" w:type="auto"/>
            <w:hideMark/>
          </w:tcPr>
          <w:p w14:paraId="192C1C8B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Military, Veterans and Homeland Security</w:t>
            </w:r>
          </w:p>
        </w:tc>
      </w:tr>
      <w:tr w:rsidR="00700267" w:rsidRPr="00700267" w14:paraId="11B3CF41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295938E4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0" w:type="auto"/>
            <w:hideMark/>
          </w:tcPr>
          <w:p w14:paraId="5EE8528D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Rep. Beau Matthew LaFave</w:t>
            </w:r>
          </w:p>
        </w:tc>
      </w:tr>
      <w:tr w:rsidR="00700267" w:rsidRPr="00700267" w14:paraId="0D5F307E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3A22B6E6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Name</w:t>
            </w:r>
          </w:p>
        </w:tc>
        <w:tc>
          <w:tcPr>
            <w:tcW w:w="0" w:type="auto"/>
            <w:hideMark/>
          </w:tcPr>
          <w:p w14:paraId="60CF5791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8" w:history="1">
              <w:r w:rsidRPr="00700267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Matt </w:t>
              </w:r>
              <w:proofErr w:type="spellStart"/>
              <w:r w:rsidRPr="00700267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Carnagie</w:t>
              </w:r>
              <w:proofErr w:type="spellEnd"/>
            </w:hyperlink>
          </w:p>
        </w:tc>
      </w:tr>
      <w:tr w:rsidR="00700267" w:rsidRPr="00700267" w14:paraId="7AD45BD0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17D40AF2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Phone</w:t>
            </w:r>
          </w:p>
        </w:tc>
        <w:tc>
          <w:tcPr>
            <w:tcW w:w="0" w:type="auto"/>
            <w:hideMark/>
          </w:tcPr>
          <w:p w14:paraId="3CB4B018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517.373.2115</w:t>
            </w:r>
          </w:p>
        </w:tc>
      </w:tr>
      <w:tr w:rsidR="00700267" w:rsidRPr="00700267" w14:paraId="705BAE24" w14:textId="77777777" w:rsidTr="007002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32543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24947FE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Room 521, House Office Building, Lansing, MI</w:t>
            </w:r>
          </w:p>
        </w:tc>
      </w:tr>
      <w:tr w:rsidR="00700267" w:rsidRPr="00700267" w14:paraId="1DA72A2F" w14:textId="77777777" w:rsidTr="007002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973D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649AB1E2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Tuesday, 2/16/2021</w:t>
            </w:r>
          </w:p>
        </w:tc>
      </w:tr>
      <w:tr w:rsidR="00700267" w:rsidRPr="00700267" w14:paraId="2C175115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310A02F3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14:paraId="681FEEC1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700267" w:rsidRPr="00700267" w14:paraId="55A4608B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158E6CD8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 Notes</w:t>
            </w:r>
          </w:p>
        </w:tc>
        <w:tc>
          <w:tcPr>
            <w:tcW w:w="0" w:type="auto"/>
            <w:hideMark/>
          </w:tcPr>
          <w:p w14:paraId="13F2689F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0267" w:rsidRPr="00700267" w14:paraId="056DCEA2" w14:textId="77777777" w:rsidTr="00700267">
        <w:trPr>
          <w:tblCellSpacing w:w="15" w:type="dxa"/>
        </w:trPr>
        <w:tc>
          <w:tcPr>
            <w:tcW w:w="0" w:type="auto"/>
            <w:hideMark/>
          </w:tcPr>
          <w:p w14:paraId="1E18AAF6" w14:textId="77777777" w:rsidR="00700267" w:rsidRPr="00700267" w:rsidRDefault="00700267" w:rsidP="007002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0" w:type="auto"/>
            <w:hideMark/>
          </w:tcPr>
          <w:p w14:paraId="33635983" w14:textId="77777777" w:rsidR="00700267" w:rsidRPr="00700267" w:rsidRDefault="00700267" w:rsidP="0070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002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Presentation by the Michigan State Police on the Michigan Intelligence Operations Center and the Emergency Management and Homeland Security Division</w:t>
            </w:r>
          </w:p>
        </w:tc>
      </w:tr>
    </w:tbl>
    <w:p w14:paraId="41ADA543" w14:textId="2451A694" w:rsidR="006E41DA" w:rsidRDefault="006E41DA" w:rsidP="0012045F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415"/>
      </w:tblGrid>
      <w:tr w:rsidR="00461AA0" w:rsidRPr="00461AA0" w14:paraId="7CF37E39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663453AB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Committee(s)</w:t>
            </w:r>
          </w:p>
        </w:tc>
        <w:tc>
          <w:tcPr>
            <w:tcW w:w="0" w:type="auto"/>
            <w:hideMark/>
          </w:tcPr>
          <w:p w14:paraId="007AAAB4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461AA0" w:rsidRPr="00461AA0" w14:paraId="645F9B75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243E51D0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0" w:type="auto"/>
            <w:hideMark/>
          </w:tcPr>
          <w:p w14:paraId="05D55662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Sen. Jim </w:t>
            </w:r>
            <w:proofErr w:type="spellStart"/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Runestad</w:t>
            </w:r>
            <w:proofErr w:type="spellEnd"/>
          </w:p>
        </w:tc>
      </w:tr>
      <w:tr w:rsidR="00461AA0" w:rsidRPr="00461AA0" w14:paraId="3E0381C9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42DBB7A3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Name</w:t>
            </w:r>
          </w:p>
        </w:tc>
        <w:tc>
          <w:tcPr>
            <w:tcW w:w="0" w:type="auto"/>
            <w:hideMark/>
          </w:tcPr>
          <w:p w14:paraId="0220C3C8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9" w:history="1">
              <w:r w:rsidRPr="00461AA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Jackie Mosher</w:t>
              </w:r>
            </w:hyperlink>
          </w:p>
        </w:tc>
      </w:tr>
      <w:tr w:rsidR="00461AA0" w:rsidRPr="00461AA0" w14:paraId="3FCC2FE9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2796C35B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Clerk Phone</w:t>
            </w:r>
          </w:p>
        </w:tc>
        <w:tc>
          <w:tcPr>
            <w:tcW w:w="0" w:type="auto"/>
            <w:hideMark/>
          </w:tcPr>
          <w:p w14:paraId="5DD1418A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517.373.5312</w:t>
            </w:r>
          </w:p>
        </w:tc>
      </w:tr>
      <w:tr w:rsidR="00461AA0" w:rsidRPr="00461AA0" w14:paraId="18CD3A12" w14:textId="77777777" w:rsidTr="00461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6E340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7B58CD69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Room 403, Capitol Building, 100 S. Capitol Avenue, Lansing, MI 48933</w:t>
            </w:r>
          </w:p>
        </w:tc>
      </w:tr>
      <w:tr w:rsidR="00461AA0" w:rsidRPr="00461AA0" w14:paraId="748C5EE4" w14:textId="77777777" w:rsidTr="00461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98102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7D16F39A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Wednesday, 2/17/2021</w:t>
            </w:r>
          </w:p>
        </w:tc>
      </w:tr>
      <w:tr w:rsidR="00461AA0" w:rsidRPr="00461AA0" w14:paraId="3FA3A73E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48214C16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14:paraId="4070BA30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461AA0" w:rsidRPr="00461AA0" w14:paraId="136970F5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0453CD45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Time Notes</w:t>
            </w:r>
          </w:p>
        </w:tc>
        <w:tc>
          <w:tcPr>
            <w:tcW w:w="0" w:type="auto"/>
            <w:hideMark/>
          </w:tcPr>
          <w:p w14:paraId="1DF67815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AA0" w:rsidRPr="00461AA0" w14:paraId="0E41E8BA" w14:textId="77777777" w:rsidTr="00461AA0">
        <w:trPr>
          <w:tblCellSpacing w:w="15" w:type="dxa"/>
        </w:trPr>
        <w:tc>
          <w:tcPr>
            <w:tcW w:w="0" w:type="auto"/>
            <w:hideMark/>
          </w:tcPr>
          <w:p w14:paraId="4F1F2ABD" w14:textId="77777777" w:rsidR="00461AA0" w:rsidRPr="00461AA0" w:rsidRDefault="00461AA0" w:rsidP="00461A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0" w:type="auto"/>
            <w:hideMark/>
          </w:tcPr>
          <w:p w14:paraId="79B7764A" w14:textId="77777777" w:rsidR="00461AA0" w:rsidRPr="00461AA0" w:rsidRDefault="00461AA0" w:rsidP="00461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presentation by the Michigan Department of Treasury regarding Other Postemployment Benefits (OPEB) and Pension Systems 2017 Reforms and Data Collected Since Implementation</w:t>
            </w: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461A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A presentation from the Michigan Municipal League on the Other Postemployment Benefits (OPEB) and Pension systems 2017 reforms.</w:t>
            </w:r>
          </w:p>
        </w:tc>
      </w:tr>
    </w:tbl>
    <w:p w14:paraId="6B703096" w14:textId="77777777" w:rsidR="00461AA0" w:rsidRDefault="00461AA0" w:rsidP="0012045F">
      <w:pPr>
        <w:rPr>
          <w:b/>
          <w:bCs/>
          <w:sz w:val="24"/>
          <w:szCs w:val="24"/>
          <w:u w:val="single"/>
        </w:rPr>
      </w:pPr>
    </w:p>
    <w:p w14:paraId="4FAF0DCE" w14:textId="77777777" w:rsidR="0055735D" w:rsidRDefault="0055735D" w:rsidP="0012045F">
      <w:pPr>
        <w:rPr>
          <w:b/>
          <w:bCs/>
          <w:sz w:val="24"/>
          <w:szCs w:val="24"/>
          <w:u w:val="single"/>
        </w:rPr>
      </w:pPr>
    </w:p>
    <w:p w14:paraId="3324646B" w14:textId="555F9A4B" w:rsidR="00012FDE" w:rsidRDefault="00CF5693" w:rsidP="0012045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Bill Introductions: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7C7773" w:rsidRPr="007C7773" w14:paraId="68C9C079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7374C4E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0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4003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724C1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Weapons: licensing; penalty for failure to comply with certain licensing requirements; modify. Amends sec. 227 of 1931 PA 328 (MCL 750.227).</w:t>
            </w:r>
          </w:p>
        </w:tc>
      </w:tr>
      <w:tr w:rsidR="007C7773" w:rsidRPr="007C7773" w14:paraId="6EA1EB97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49F78223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1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4007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86044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Crimes: public office and officers; assault against a first responder during a riot; </w:t>
            </w:r>
            <w:proofErr w:type="gramStart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prohibit, and</w:t>
            </w:r>
            <w:proofErr w:type="gramEnd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provide penalties. Amends 1931 PA 328 (MCL 750.1 - 750.568) by adding sec. 528b.</w:t>
            </w:r>
          </w:p>
        </w:tc>
      </w:tr>
      <w:tr w:rsidR="007C7773" w:rsidRPr="007C7773" w14:paraId="7A6C5145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0263C03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2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4009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93FAC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Criminal procedure: sentencing guidelines; sentencing guidelines for assault against a first responder during a riot; create. Amends sec. 16y, </w:t>
            </w:r>
            <w:proofErr w:type="spellStart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ch.</w:t>
            </w:r>
            <w:proofErr w:type="spellEnd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XVII of 1927 PA 175 (MCL 777.16y). TIE BAR WITH: HB 4007'21</w:t>
            </w:r>
          </w:p>
        </w:tc>
      </w:tr>
      <w:tr w:rsidR="004652C4" w:rsidRPr="004652C4" w14:paraId="0E61510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5A6378C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3" w:history="1">
              <w:r w:rsidR="004652C4" w:rsidRPr="004652C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HB 4018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DE61A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supplemental appropriations; provide for fiscal year 2019-2020. Creates appropriation act.</w:t>
            </w:r>
          </w:p>
        </w:tc>
      </w:tr>
      <w:tr w:rsidR="004652C4" w:rsidRPr="004652C4" w14:paraId="7F196C18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4E6D6BE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4" w:history="1">
              <w:r w:rsidR="004652C4" w:rsidRPr="004652C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HB 4020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92EE8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multi-department supplemental appropriations; provide for fiscal year 2020-2021. Creates appropriation act.</w:t>
            </w:r>
          </w:p>
        </w:tc>
      </w:tr>
      <w:tr w:rsidR="004652C4" w:rsidRPr="004652C4" w14:paraId="045B18D6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D54D18D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5" w:history="1">
              <w:r w:rsidR="004652C4" w:rsidRPr="004652C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HB 4021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7D961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multi-department supplemental appropriations; provide for fiscal year 2020-2021. Creates appropriation act.</w:t>
            </w:r>
          </w:p>
        </w:tc>
      </w:tr>
      <w:tr w:rsidR="007C7773" w:rsidRPr="007C7773" w14:paraId="72E2EA0A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4198A35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6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4031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7FBC7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health and safety; violations of reports of injuries and death; modify. Amends sec. 35 of 1974 PA 154 (MCL 408.1035).</w:t>
            </w:r>
          </w:p>
        </w:tc>
      </w:tr>
      <w:tr w:rsidR="004652C4" w:rsidRPr="004652C4" w14:paraId="0DC1499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</w:tcPr>
          <w:p w14:paraId="7B71111B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7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4039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14:paraId="3BAA4261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supplemental; supplemental appropriations for fiscal year 2020-2021; provide for. Create appropriation act.</w:t>
            </w:r>
          </w:p>
        </w:tc>
      </w:tr>
      <w:tr w:rsidR="004652C4" w:rsidRPr="004652C4" w14:paraId="2A59B02B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7315984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8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4040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3FD4F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Education: occupational schools; occupational school regulations; exempt certain apprenticeship programs. Amends sec. 1a of 1943 PA 148 (MCL 395.101a).</w:t>
            </w:r>
          </w:p>
        </w:tc>
      </w:tr>
      <w:tr w:rsidR="007C7773" w:rsidRPr="007C7773" w14:paraId="133D70C7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FA49794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9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4054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80179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Property tax: exemptions; exemption for surviving spouse of certain veterans; modify. Amends sec. 7b of 1893 PA 206 (MCL 211.7b).</w:t>
            </w:r>
          </w:p>
        </w:tc>
      </w:tr>
      <w:tr w:rsidR="007C7773" w:rsidRPr="007C7773" w14:paraId="115AFE5B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53EF149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0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4061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B5FE7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Law enforcement: communications; restrictions for use of the emergency alert system; provide for. Amends secs. 2 &amp; 3 of 2016 PA 235 (MCL 28.672 &amp; 28.673).</w:t>
            </w:r>
          </w:p>
        </w:tc>
      </w:tr>
      <w:tr w:rsidR="007C7773" w:rsidRPr="007C7773" w14:paraId="571207D5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489F2B27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1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4070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7659D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Higher education: financial aid; tuition assistance benefits for certain survivors of Michigan police officers and Michigan fire fighters killed in the line of duty; modify. Amends sec. 3 of 1996 PA 195 (MCL 390.1243).</w:t>
            </w:r>
          </w:p>
        </w:tc>
      </w:tr>
      <w:tr w:rsidR="007C7773" w:rsidRPr="007C7773" w14:paraId="2BA791BA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D12F836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2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4077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91140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Energy: gas and oil; requirement for security measures preventing public access to unattended self-service fueling stations; prohibit LARA from imposing. Amends sec. 21106 of 1994 PA 451 (MCL 324.21106).</w:t>
            </w:r>
          </w:p>
        </w:tc>
      </w:tr>
      <w:tr w:rsidR="007C7773" w:rsidRPr="007C7773" w14:paraId="400B53A4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D6CE78D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3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4083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C02FC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fair employment practices; employer inquiries regarding criminal history; prohibit before offer of employment is made. Creates new act.</w:t>
            </w:r>
          </w:p>
        </w:tc>
      </w:tr>
      <w:tr w:rsidR="007C7773" w:rsidRPr="007C7773" w14:paraId="4607D3D1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4C55CFBB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4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4087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F1E3D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Law enforcement: state police; emergency materials and supplies reserve; provide for. Amends 1976 PA 390 (MCL 30.401 - 30.421) by adding sec. 7b.</w:t>
            </w:r>
          </w:p>
        </w:tc>
      </w:tr>
      <w:tr w:rsidR="007C7773" w:rsidRPr="007C7773" w14:paraId="0857EC95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FEEE64D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5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4167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5CB5F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Education: safety; annual inspections of all public and nonpublic schools for health and safety violations; require. Amends 1976 PA 451 (MCL 380.1 - 380.1852) by adding sec. 1263a.</w:t>
            </w:r>
          </w:p>
        </w:tc>
      </w:tr>
      <w:tr w:rsidR="007C7773" w:rsidRPr="007C7773" w14:paraId="5B7F7A46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B27501D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6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4171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9690A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Worker's compensation: disabilities; occupational cancer; extend presumption of causation to fire/crash rescue officers and forest fire officers. Amends sec. 405 of 1969 PA 317 (MCL 418.405).</w:t>
            </w:r>
          </w:p>
        </w:tc>
      </w:tr>
      <w:tr w:rsidR="007C7773" w:rsidRPr="007C7773" w14:paraId="636F51B7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1638F66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7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4172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0E8C9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Worker's compensation: disabilities; certain occupational diseases; extend presumption of causation to part-time, paid on-call, and volunteer firefighters. Amends sec. 405 of 1969 PA 317 (MCL 418.405).</w:t>
            </w:r>
          </w:p>
        </w:tc>
      </w:tr>
      <w:tr w:rsidR="007C7773" w:rsidRPr="007C7773" w14:paraId="0EBB4CA3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9B6B178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8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4175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34858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collective bargaining; collective bargaining rights; revise to restore former provisions. Amends secs. 1, 2, 8, 14, 17 &amp; 22 of 1939 PA 176 (MCL 423.1 et seq.).</w:t>
            </w:r>
          </w:p>
        </w:tc>
      </w:tr>
      <w:tr w:rsidR="007C7773" w:rsidRPr="007C7773" w14:paraId="004E4D29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58F2384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9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4176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23880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collective bargaining; requirement for agency fee for nonunion members; allow in bargaining agreements and as condition of employment in public sector. Amends secs. 9, 10 &amp; 15 of 1947 PA 336 (MCL 423.209 et seq.).</w:t>
            </w:r>
          </w:p>
        </w:tc>
      </w:tr>
      <w:tr w:rsidR="007C7773" w:rsidRPr="007C7773" w14:paraId="425DEFC7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6F2DC62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0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HB 4177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D882D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fair employment practices; changes made to the earned sick time act; reverse. Amends secs. 1, 2, 3, 4, 5, 7, 8, 120, 11 &amp; 14 of 2018 PA 338 (MCL 408.961 et seq.) &amp; adds secs. 5b, 8b &amp; 12b.</w:t>
            </w:r>
          </w:p>
        </w:tc>
      </w:tr>
      <w:tr w:rsidR="007C7773" w:rsidRPr="007C7773" w14:paraId="7FF46053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5FA6719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1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0017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20771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Public employees and officers: other; 1968 PA 317 regarding contracts of public servants with public entities; modify certain population thresholds. Amends sec. 3a of 1968 PA 317 (MCL 15.323a).</w:t>
            </w:r>
          </w:p>
        </w:tc>
      </w:tr>
      <w:tr w:rsidR="007C7773" w:rsidRPr="007C7773" w14:paraId="77587F13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EFAD9F9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2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0019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8E8D1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Health occupations: emergency medical services personnel; special volunteer license for certain retired EMS personnel; provide for. Amends 1978 PA 368 (</w:t>
            </w:r>
            <w:proofErr w:type="spellStart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MCl</w:t>
            </w:r>
            <w:proofErr w:type="spellEnd"/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333.1101 - 333.25211) by adding sec. 20955.</w:t>
            </w:r>
          </w:p>
        </w:tc>
      </w:tr>
      <w:tr w:rsidR="007C7773" w:rsidRPr="007C7773" w14:paraId="7BB1F9B9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108AD3A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3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0024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A4DA9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Individual income tax: retirement or pension benefits; 3-tier limitations and restrictions on deduction for retirement or pension benefits based on taxpayer's age; eliminate. Amends sec. 30 of 1967 PA 281 (MCL 206.30).</w:t>
            </w:r>
          </w:p>
        </w:tc>
      </w:tr>
      <w:tr w:rsidR="004B2B34" w14:paraId="3E2B9392" w14:textId="77777777" w:rsidTr="004B2B3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4292650" w14:textId="77777777" w:rsidR="004B2B34" w:rsidRPr="004B2B34" w:rsidRDefault="009C2BF7" w:rsidP="004B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hyperlink r:id="rId44" w:history="1">
              <w:r w:rsidR="004B2B34" w:rsidRPr="004B2B34">
                <w:rPr>
                  <w:rStyle w:val="Hyperlink"/>
                  <w:rFonts w:ascii="Verdana" w:hAnsi="Verdana"/>
                  <w:sz w:val="24"/>
                  <w:szCs w:val="24"/>
                </w:rPr>
                <w:t>SB 0026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F891A" w14:textId="77777777" w:rsidR="004B2B34" w:rsidRPr="004B2B34" w:rsidRDefault="004B2B34" w:rsidP="004B2B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2B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supplemental appropriations; provide for fiscal year 2019-2020. Creates appropriation act.</w:t>
            </w:r>
          </w:p>
        </w:tc>
      </w:tr>
      <w:tr w:rsidR="004B2B34" w14:paraId="215AC264" w14:textId="77777777" w:rsidTr="004B2B3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8C91BD0" w14:textId="77777777" w:rsidR="004B2B34" w:rsidRPr="004B2B34" w:rsidRDefault="009C2BF7" w:rsidP="004B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hyperlink r:id="rId45" w:history="1">
              <w:r w:rsidR="004B2B34" w:rsidRPr="004B2B34">
                <w:rPr>
                  <w:rStyle w:val="Hyperlink"/>
                  <w:rFonts w:ascii="Verdana" w:hAnsi="Verdana"/>
                  <w:sz w:val="24"/>
                  <w:szCs w:val="24"/>
                </w:rPr>
                <w:t>SB 0027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CB0E3" w14:textId="77777777" w:rsidR="004B2B34" w:rsidRPr="004B2B34" w:rsidRDefault="004B2B34" w:rsidP="004B2B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2B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supplemental appropriations; provide for fiscal year 2020-2021. Creates appropriation act.</w:t>
            </w:r>
          </w:p>
        </w:tc>
      </w:tr>
      <w:tr w:rsidR="004B2B34" w14:paraId="140462E3" w14:textId="77777777" w:rsidTr="004B2B3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1E04C92" w14:textId="77777777" w:rsidR="004B2B34" w:rsidRPr="004B2B34" w:rsidRDefault="009C2BF7" w:rsidP="004B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hyperlink r:id="rId46" w:history="1">
              <w:r w:rsidR="004B2B34" w:rsidRPr="004B2B34">
                <w:rPr>
                  <w:rStyle w:val="Hyperlink"/>
                  <w:rFonts w:ascii="Verdana" w:hAnsi="Verdana"/>
                  <w:sz w:val="24"/>
                  <w:szCs w:val="24"/>
                </w:rPr>
                <w:t>SB 0028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65981" w14:textId="77777777" w:rsidR="004B2B34" w:rsidRPr="004B2B34" w:rsidRDefault="004B2B34" w:rsidP="004B2B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2B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supplemental appropriations; provide for multi-year supplemental. Creates appropriation act.</w:t>
            </w:r>
          </w:p>
        </w:tc>
      </w:tr>
      <w:tr w:rsidR="004B2B34" w14:paraId="19F3354F" w14:textId="77777777" w:rsidTr="004B2B3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7525AB6" w14:textId="77777777" w:rsidR="004B2B34" w:rsidRPr="004B2B34" w:rsidRDefault="009C2BF7" w:rsidP="004B2B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hyperlink r:id="rId47" w:history="1">
              <w:r w:rsidR="004B2B34" w:rsidRPr="004B2B34">
                <w:rPr>
                  <w:rStyle w:val="Hyperlink"/>
                  <w:rFonts w:ascii="Verdana" w:hAnsi="Verdana"/>
                  <w:sz w:val="24"/>
                  <w:szCs w:val="24"/>
                </w:rPr>
                <w:t>SB 0029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EAD17" w14:textId="77777777" w:rsidR="004B2B34" w:rsidRPr="004B2B34" w:rsidRDefault="004B2B34" w:rsidP="004B2B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2B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supplemental appropriations; provide for multi-year supplemental in the school aid act. Amends secs. 11, 17b, 201 &amp; 236 of 1979 PA 94 (MCL 388.1611 et seq.).</w:t>
            </w:r>
          </w:p>
        </w:tc>
      </w:tr>
      <w:tr w:rsidR="007C7773" w:rsidRPr="007C7773" w14:paraId="77B15005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B0D0845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8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0044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317B5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Labor: fair employment practices; absence from work to respond to an emergency as an emergency responder; protect from adverse employment action. Creates new act.</w:t>
            </w:r>
          </w:p>
        </w:tc>
      </w:tr>
      <w:tr w:rsidR="00186E91" w14:paraId="7AE1F138" w14:textId="77777777" w:rsidTr="00186E91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47D67C9" w14:textId="77777777" w:rsidR="00186E91" w:rsidRPr="00186E91" w:rsidRDefault="009C2BF7" w:rsidP="00186E91">
            <w:pPr>
              <w:spacing w:after="0" w:line="240" w:lineRule="auto"/>
              <w:rPr>
                <w:rFonts w:ascii="Verdana" w:hAnsi="Verdana"/>
              </w:rPr>
            </w:pPr>
            <w:hyperlink r:id="rId49" w:history="1">
              <w:r w:rsidR="00186E91" w:rsidRPr="00186E91">
                <w:rPr>
                  <w:rStyle w:val="Hyperlink"/>
                  <w:rFonts w:ascii="Verdana" w:hAnsi="Verdana"/>
                  <w:sz w:val="24"/>
                  <w:szCs w:val="24"/>
                </w:rPr>
                <w:t>SB 0052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347AF" w14:textId="77777777" w:rsidR="00186E91" w:rsidRPr="00186E91" w:rsidRDefault="00186E91" w:rsidP="00186E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86E9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supplemental; supplemental appropriations for fiscal year 2020-2021; provide for. Creates appropriation act.</w:t>
            </w:r>
          </w:p>
        </w:tc>
      </w:tr>
      <w:tr w:rsidR="007C7773" w:rsidRPr="007C7773" w14:paraId="285323B5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3206B55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0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0076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276C3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Law enforcement: communications; restrictions for use of the emergency alert system; provide for. Amends secs. 2 &amp; 3 of 2016 PA 235 (MCL 28.672 &amp; 28.673).</w:t>
            </w:r>
          </w:p>
        </w:tc>
      </w:tr>
      <w:tr w:rsidR="004652C4" w:rsidRPr="004652C4" w14:paraId="0D89372D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3BB6BC07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1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0078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82B7C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capital outlay; provide for fiscal year 2021-2022. Creates appropriation act.</w:t>
            </w:r>
          </w:p>
        </w:tc>
      </w:tr>
      <w:tr w:rsidR="004652C4" w:rsidRPr="004652C4" w14:paraId="389A4C8A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4166807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2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0079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1B49A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health and human services; provide for fiscal year 2021-2022. Creates appropriation act.</w:t>
            </w:r>
          </w:p>
        </w:tc>
      </w:tr>
      <w:tr w:rsidR="004652C4" w:rsidRPr="004652C4" w14:paraId="6EE2EE54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27726BF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3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0080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63459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corrections; provide for fiscal year 2021-2022. Creates appropriation act.</w:t>
            </w:r>
          </w:p>
        </w:tc>
      </w:tr>
      <w:tr w:rsidR="004652C4" w:rsidRPr="004652C4" w14:paraId="1926D266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2DE0EF8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4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10A58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judiciary; provide for fiscal year 2021-2022. Creates appropriation act.</w:t>
            </w:r>
          </w:p>
        </w:tc>
      </w:tr>
      <w:tr w:rsidR="004652C4" w:rsidRPr="004652C4" w14:paraId="58D77AD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162536C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5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0082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70AD6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general government; provide for fiscal year 2021-2022. Creates appropriation act.</w:t>
            </w:r>
          </w:p>
        </w:tc>
      </w:tr>
      <w:tr w:rsidR="004652C4" w:rsidRPr="004652C4" w14:paraId="0D7F231B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D90CAA2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6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0083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A8B4F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K-12 school aid appropriations; provide for fiscal year 2021-2022. Amends secs. 11 &amp; 17b of 1979 PA 94 (MCL 388.1611 &amp; 388.1617b).</w:t>
            </w:r>
          </w:p>
        </w:tc>
      </w:tr>
      <w:tr w:rsidR="004652C4" w:rsidRPr="004652C4" w14:paraId="7A0EF7A2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61726845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7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7185F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education; provide for fiscal year 2021-2022. Creates appropriation act.</w:t>
            </w:r>
          </w:p>
        </w:tc>
      </w:tr>
      <w:tr w:rsidR="004652C4" w:rsidRPr="004652C4" w14:paraId="0BABE6BD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B3EFD43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8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0085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6AD1C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labor and economic opportunity; provide for fiscal year 2021-2022. Creates appropriation act.</w:t>
            </w:r>
          </w:p>
        </w:tc>
      </w:tr>
      <w:tr w:rsidR="004652C4" w:rsidRPr="004652C4" w14:paraId="0CC74153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CBF92C9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9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0086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F16B7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licensing and regulatory affairs; provide for fiscal year 2021-2022. Creates appropriation act.</w:t>
            </w:r>
          </w:p>
        </w:tc>
      </w:tr>
      <w:tr w:rsidR="004652C4" w:rsidRPr="004652C4" w14:paraId="671B1917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5321D4A2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0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0087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72FA1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insurance and financial services; provide for fiscal year 2021-2022. Creates appropriation act.</w:t>
            </w:r>
          </w:p>
        </w:tc>
      </w:tr>
      <w:tr w:rsidR="004652C4" w:rsidRPr="004652C4" w14:paraId="6E274E13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59E6CE3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1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0088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3F8A8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Appropriations: zero budget; department of military and </w:t>
            </w:r>
            <w:proofErr w:type="gramStart"/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veterans</w:t>
            </w:r>
            <w:proofErr w:type="gramEnd"/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affairs; provide for fiscal year 2021-2022. Creates appropriation act.</w:t>
            </w:r>
          </w:p>
        </w:tc>
      </w:tr>
      <w:tr w:rsidR="004652C4" w:rsidRPr="004652C4" w14:paraId="7EF2B788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4EB1148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2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0089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2E406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state police; provide for fiscal year 2021-2022. Creates appropriation act.</w:t>
            </w:r>
          </w:p>
        </w:tc>
      </w:tr>
      <w:tr w:rsidR="004652C4" w:rsidRPr="004652C4" w14:paraId="1A42D193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4077D843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3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0090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065EB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natural resources; provide for fiscal year 2021-2022. Creates appropriation act.</w:t>
            </w:r>
          </w:p>
        </w:tc>
      </w:tr>
      <w:tr w:rsidR="004652C4" w:rsidRPr="004652C4" w14:paraId="3FD3703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106EA8C8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4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0091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DB2DD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department of environment, Great Lakes, and energy; provide for fiscal year 2021-2022. Creates appropriation act.</w:t>
            </w:r>
          </w:p>
        </w:tc>
      </w:tr>
      <w:tr w:rsidR="004652C4" w:rsidRPr="004652C4" w14:paraId="79F7A65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D850D6E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5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0092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10B34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state transportation; provide for fiscal year 2021-2022. Creates appropriation act.</w:t>
            </w:r>
          </w:p>
        </w:tc>
      </w:tr>
      <w:tr w:rsidR="004652C4" w:rsidRPr="004652C4" w14:paraId="5A805D38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CB5AA15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6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0093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AA3F2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higher education; provide for fiscal year 2021-2022. Amends secs. 236 &amp; 241 of 1979 PA 94 (MCL 388.1836 &amp; 388.1841).</w:t>
            </w:r>
          </w:p>
        </w:tc>
      </w:tr>
      <w:tr w:rsidR="004652C4" w:rsidRPr="004652C4" w14:paraId="38A81248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985132D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7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D530E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community colleges appropriations; provide for fiscal year 2021-2022. Amends secs. 201 &amp; 206 of 1979 PA 94 (MCL 388.1801 &amp; 388.1806).</w:t>
            </w:r>
          </w:p>
        </w:tc>
      </w:tr>
      <w:tr w:rsidR="004652C4" w:rsidRPr="004652C4" w14:paraId="6FA5F08B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22D237F6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8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0095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9B01B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omnibus budget appropriations; provide for fiscal year 2021-2022. Creates appropriation act.</w:t>
            </w:r>
          </w:p>
        </w:tc>
      </w:tr>
      <w:tr w:rsidR="004652C4" w:rsidRPr="004652C4" w14:paraId="6FBA4449" w14:textId="77777777" w:rsidTr="004652C4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4C0A04B3" w14:textId="77777777" w:rsidR="004652C4" w:rsidRPr="004652C4" w:rsidRDefault="009C2BF7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9" w:history="1">
              <w:r w:rsidR="004652C4" w:rsidRPr="004652C4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0096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318C6" w14:textId="77777777" w:rsidR="004652C4" w:rsidRPr="004652C4" w:rsidRDefault="004652C4" w:rsidP="004652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school aid; fiscal year 2021-2022 omnibus appropriations for K-12 school aid, higher education, and community colleges; provide for. Amends secs. 11, 17b, 201 &amp; 236 of 1979 PA 94 (MCL 388.1611 et seq.).</w:t>
            </w:r>
          </w:p>
        </w:tc>
      </w:tr>
      <w:tr w:rsidR="007C7773" w:rsidRPr="007C7773" w14:paraId="35FDFA6C" w14:textId="77777777" w:rsidTr="007C7773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00E619D0" w14:textId="77777777" w:rsidR="007C7773" w:rsidRPr="007C7773" w:rsidRDefault="009C2BF7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0" w:history="1">
              <w:r w:rsidR="007C7773" w:rsidRPr="007C7773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</w:rPr>
                <w:t>SB 0114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8DE89" w14:textId="77777777" w:rsidR="007C7773" w:rsidRPr="007C7773" w:rsidRDefault="007C7773" w:rsidP="007C77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C77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multidepartment supplemental appropriations; provide for fiscal year 2020-2021. Creates appropriation act.</w:t>
            </w:r>
          </w:p>
        </w:tc>
      </w:tr>
    </w:tbl>
    <w:p w14:paraId="5D897332" w14:textId="7D152046" w:rsidR="00CF5693" w:rsidRDefault="00CF5693" w:rsidP="0012045F">
      <w:pPr>
        <w:rPr>
          <w:b/>
          <w:bCs/>
          <w:sz w:val="24"/>
          <w:szCs w:val="24"/>
          <w:u w:val="single"/>
        </w:rPr>
      </w:pPr>
    </w:p>
    <w:p w14:paraId="2E8418D7" w14:textId="1CB9A9E1" w:rsidR="00CF5693" w:rsidRDefault="00CF5693" w:rsidP="0012045F">
      <w:pPr>
        <w:rPr>
          <w:b/>
          <w:bCs/>
          <w:sz w:val="24"/>
          <w:szCs w:val="24"/>
          <w:u w:val="single"/>
        </w:rPr>
      </w:pPr>
    </w:p>
    <w:p w14:paraId="19B6D1F1" w14:textId="55ABAA7D" w:rsidR="00CF5693" w:rsidRDefault="00CF5693" w:rsidP="0012045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Bill Activity:</w:t>
      </w:r>
    </w:p>
    <w:p w14:paraId="35B86855" w14:textId="16A7292E" w:rsidR="00CF5693" w:rsidRDefault="00CF5693" w:rsidP="0012045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PASSED, ENROLLED OR ADOPTED By the CHAMBER</w:t>
      </w:r>
    </w:p>
    <w:p w14:paraId="25E37D6A" w14:textId="6369A714" w:rsidR="00CF5693" w:rsidRDefault="00CF5693" w:rsidP="001204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Passed by </w:t>
      </w:r>
      <w:proofErr w:type="gramStart"/>
      <w:r>
        <w:rPr>
          <w:b/>
          <w:bCs/>
          <w:sz w:val="24"/>
          <w:szCs w:val="24"/>
        </w:rPr>
        <w:t>Chamber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7C7773" w:rsidRPr="004652C4" w14:paraId="7DC107E3" w14:textId="77777777" w:rsidTr="00FD2801">
        <w:trPr>
          <w:tblCellSpacing w:w="15" w:type="dxa"/>
        </w:trPr>
        <w:tc>
          <w:tcPr>
            <w:tcW w:w="1875" w:type="dxa"/>
            <w:shd w:val="clear" w:color="auto" w:fill="FFFFFF"/>
            <w:hideMark/>
          </w:tcPr>
          <w:p w14:paraId="72252785" w14:textId="77777777" w:rsidR="007C7773" w:rsidRPr="004652C4" w:rsidRDefault="009C2BF7" w:rsidP="00FD28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1" w:history="1">
              <w:r w:rsidR="007C7773" w:rsidRPr="004652C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HB 4019 of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A0EA8" w14:textId="77777777" w:rsidR="007C7773" w:rsidRPr="004652C4" w:rsidRDefault="007C7773" w:rsidP="00FD28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652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Appropriations: zero budget; multi-department supplemental appropriations; provide for fiscal year 2020-2021. Creates appropriation act.</w:t>
            </w:r>
          </w:p>
        </w:tc>
      </w:tr>
    </w:tbl>
    <w:p w14:paraId="673B89DF" w14:textId="77777777" w:rsidR="007C7773" w:rsidRPr="007C7773" w:rsidRDefault="007C7773" w:rsidP="007C7773">
      <w:pPr>
        <w:rPr>
          <w:sz w:val="24"/>
          <w:szCs w:val="24"/>
        </w:rPr>
      </w:pPr>
    </w:p>
    <w:sectPr w:rsidR="007C7773" w:rsidRPr="007C7773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C8D9" w14:textId="77777777" w:rsidR="009C2BF7" w:rsidRDefault="009C2BF7" w:rsidP="00961A69">
      <w:pPr>
        <w:spacing w:after="0" w:line="240" w:lineRule="auto"/>
      </w:pPr>
      <w:r>
        <w:separator/>
      </w:r>
    </w:p>
  </w:endnote>
  <w:endnote w:type="continuationSeparator" w:id="0">
    <w:p w14:paraId="4302064E" w14:textId="77777777" w:rsidR="009C2BF7" w:rsidRDefault="009C2BF7" w:rsidP="00961A69">
      <w:pPr>
        <w:spacing w:after="0" w:line="240" w:lineRule="auto"/>
      </w:pPr>
      <w:r>
        <w:continuationSeparator/>
      </w:r>
    </w:p>
  </w:endnote>
  <w:endnote w:type="continuationNotice" w:id="1">
    <w:p w14:paraId="2A049493" w14:textId="77777777" w:rsidR="009C2BF7" w:rsidRDefault="009C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B5C5" w14:textId="77777777" w:rsidR="009C2BF7" w:rsidRDefault="009C2BF7" w:rsidP="00961A69">
      <w:pPr>
        <w:spacing w:after="0" w:line="240" w:lineRule="auto"/>
      </w:pPr>
      <w:r>
        <w:separator/>
      </w:r>
    </w:p>
  </w:footnote>
  <w:footnote w:type="continuationSeparator" w:id="0">
    <w:p w14:paraId="249DE024" w14:textId="77777777" w:rsidR="009C2BF7" w:rsidRDefault="009C2BF7" w:rsidP="00961A69">
      <w:pPr>
        <w:spacing w:after="0" w:line="240" w:lineRule="auto"/>
      </w:pPr>
      <w:r>
        <w:continuationSeparator/>
      </w:r>
    </w:p>
  </w:footnote>
  <w:footnote w:type="continuationNotice" w:id="1">
    <w:p w14:paraId="10825B47" w14:textId="77777777" w:rsidR="009C2BF7" w:rsidRDefault="009C2B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DEC9" w14:textId="14CC6973" w:rsidR="00961A69" w:rsidRDefault="00961A69" w:rsidP="00961A69">
    <w:pPr>
      <w:pStyle w:val="Header"/>
      <w:jc w:val="center"/>
    </w:pPr>
    <w:r>
      <w:rPr>
        <w:noProof/>
      </w:rPr>
      <w:drawing>
        <wp:inline distT="0" distB="0" distL="0" distR="0" wp14:anchorId="4767B689" wp14:editId="61052A4A">
          <wp:extent cx="284734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B8DA1F" w14:textId="77777777" w:rsidR="00FD2801" w:rsidRPr="00845D7D" w:rsidRDefault="00FD2801" w:rsidP="00FD2801">
    <w:pPr>
      <w:pStyle w:val="Header"/>
      <w:jc w:val="center"/>
      <w:rPr>
        <w:rFonts w:ascii="FrankRuehl" w:hAnsi="FrankRuehl" w:cs="FrankRuehl"/>
        <w:sz w:val="40"/>
        <w:szCs w:val="40"/>
      </w:rPr>
    </w:pPr>
    <w:r>
      <w:rPr>
        <w:rFonts w:ascii="FrankRuehl" w:hAnsi="FrankRuehl" w:cs="FrankRuehl"/>
        <w:sz w:val="40"/>
        <w:szCs w:val="40"/>
      </w:rPr>
      <w:t>Prepared for the Fire Service Clients of Kelley Cawthorne</w:t>
    </w:r>
  </w:p>
  <w:p w14:paraId="00F625B7" w14:textId="77777777" w:rsidR="00961A69" w:rsidRDefault="00961A69" w:rsidP="00961A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398"/>
    <w:multiLevelType w:val="hybridMultilevel"/>
    <w:tmpl w:val="4C5C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F"/>
    <w:rsid w:val="00012FDE"/>
    <w:rsid w:val="00101926"/>
    <w:rsid w:val="0012045F"/>
    <w:rsid w:val="00165539"/>
    <w:rsid w:val="00186E91"/>
    <w:rsid w:val="001E7B4F"/>
    <w:rsid w:val="00286E3F"/>
    <w:rsid w:val="00295EDC"/>
    <w:rsid w:val="00461AA0"/>
    <w:rsid w:val="004652C4"/>
    <w:rsid w:val="004B2B34"/>
    <w:rsid w:val="0055735D"/>
    <w:rsid w:val="006B6502"/>
    <w:rsid w:val="006E41DA"/>
    <w:rsid w:val="00700267"/>
    <w:rsid w:val="00747F87"/>
    <w:rsid w:val="007C7773"/>
    <w:rsid w:val="008E785F"/>
    <w:rsid w:val="00961A69"/>
    <w:rsid w:val="009C2BF7"/>
    <w:rsid w:val="009D735E"/>
    <w:rsid w:val="00A77A63"/>
    <w:rsid w:val="00B61057"/>
    <w:rsid w:val="00CF5693"/>
    <w:rsid w:val="00E470F1"/>
    <w:rsid w:val="00E77CB6"/>
    <w:rsid w:val="00E96292"/>
    <w:rsid w:val="00EA58A9"/>
    <w:rsid w:val="00F058CD"/>
    <w:rsid w:val="00F1061B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57AC"/>
  <w15:chartTrackingRefBased/>
  <w15:docId w15:val="{52D86C01-727A-48E3-84EB-096B183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9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652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2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69"/>
  </w:style>
  <w:style w:type="paragraph" w:styleId="Footer">
    <w:name w:val="footer"/>
    <w:basedOn w:val="Normal"/>
    <w:link w:val="FooterChar"/>
    <w:uiPriority w:val="99"/>
    <w:unhideWhenUsed/>
    <w:rsid w:val="0096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slature.mi.gov/(S(e4ihnuxkfysaw045lscxw30w))/mileg.aspx?page=getObject&amp;objectname=2021-HB-4031" TargetMode="External"/><Relationship Id="rId21" Type="http://schemas.openxmlformats.org/officeDocument/2006/relationships/hyperlink" Target="https://www.legislature.mi.gov/(S(e4ihnuxkfysaw045lscxw30w))/mileg.aspx?page=getObject&amp;objectname=2021-HB-4007" TargetMode="External"/><Relationship Id="rId42" Type="http://schemas.openxmlformats.org/officeDocument/2006/relationships/hyperlink" Target="https://www.legislature.mi.gov/(S(e4ihnuxkfysaw045lscxw30w))/mileg.aspx?page=getObject&amp;objectname=2021-SB-0019" TargetMode="External"/><Relationship Id="rId47" Type="http://schemas.openxmlformats.org/officeDocument/2006/relationships/hyperlink" Target="https://www.legislature.mi.gov/(S(e4ihnuxkfysaw045lscxw30w))/mileg.aspx?page=getObject&amp;objectname=2021-SB-0029" TargetMode="External"/><Relationship Id="rId63" Type="http://schemas.openxmlformats.org/officeDocument/2006/relationships/hyperlink" Target="https://www.legislature.mi.gov/(S(e4ihnuxkfysaw045lscxw30w))/mileg.aspx?page=getObject&amp;objectname=2021-SB-0090" TargetMode="External"/><Relationship Id="rId68" Type="http://schemas.openxmlformats.org/officeDocument/2006/relationships/hyperlink" Target="https://www.legislature.mi.gov/(S(e4ihnuxkfysaw045lscxw30w))/mileg.aspx?page=getObject&amp;objectname=2021-SB-00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ure.mi.gov/(S(ha0cqiaxcuzcthczlkkcfbs5))/mileg.aspx?page=getObject&amp;objectname=2021-SB-0017" TargetMode="External"/><Relationship Id="rId29" Type="http://schemas.openxmlformats.org/officeDocument/2006/relationships/hyperlink" Target="https://www.legislature.mi.gov/(S(e4ihnuxkfysaw045lscxw30w))/mileg.aspx?page=getObject&amp;objectname=2021-HB-4054" TargetMode="External"/><Relationship Id="rId11" Type="http://schemas.openxmlformats.org/officeDocument/2006/relationships/hyperlink" Target="mailto:dsoda@house.mi.gov" TargetMode="External"/><Relationship Id="rId24" Type="http://schemas.openxmlformats.org/officeDocument/2006/relationships/hyperlink" Target="https://www.legislature.mi.gov/(S(e4ihnuxkfysaw045lscxw30w))/mileg.aspx?page=getObject&amp;objectname=2021-HB-4020" TargetMode="External"/><Relationship Id="rId32" Type="http://schemas.openxmlformats.org/officeDocument/2006/relationships/hyperlink" Target="https://www.legislature.mi.gov/(S(e4ihnuxkfysaw045lscxw30w))/mileg.aspx?page=getObject&amp;objectname=2021-HB-4077" TargetMode="External"/><Relationship Id="rId37" Type="http://schemas.openxmlformats.org/officeDocument/2006/relationships/hyperlink" Target="https://www.legislature.mi.gov/(S(e4ihnuxkfysaw045lscxw30w))/mileg.aspx?page=getObject&amp;objectname=2021-HB-4172" TargetMode="External"/><Relationship Id="rId40" Type="http://schemas.openxmlformats.org/officeDocument/2006/relationships/hyperlink" Target="https://www.legislature.mi.gov/(S(e4ihnuxkfysaw045lscxw30w))/mileg.aspx?page=getObject&amp;objectname=2021-HB-4177" TargetMode="External"/><Relationship Id="rId45" Type="http://schemas.openxmlformats.org/officeDocument/2006/relationships/hyperlink" Target="https://www.legislature.mi.gov/(S(e4ihnuxkfysaw045lscxw30w))/mileg.aspx?page=getObject&amp;objectname=2021-SB-0027" TargetMode="External"/><Relationship Id="rId53" Type="http://schemas.openxmlformats.org/officeDocument/2006/relationships/hyperlink" Target="https://www.legislature.mi.gov/(S(e4ihnuxkfysaw045lscxw30w))/mileg.aspx?page=getObject&amp;objectname=2021-SB-0080" TargetMode="External"/><Relationship Id="rId58" Type="http://schemas.openxmlformats.org/officeDocument/2006/relationships/hyperlink" Target="https://www.legislature.mi.gov/(S(e4ihnuxkfysaw045lscxw30w))/mileg.aspx?page=getObject&amp;objectname=2021-SB-0085" TargetMode="External"/><Relationship Id="rId66" Type="http://schemas.openxmlformats.org/officeDocument/2006/relationships/hyperlink" Target="https://www.legislature.mi.gov/(S(e4ihnuxkfysaw045lscxw30w))/mileg.aspx?page=getObject&amp;objectname=2021-SB-0093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legislature.mi.gov/(S(e4ihnuxkfysaw045lscxw30w))/mileg.aspx?page=getObject&amp;objectname=2021-SB-0088" TargetMode="External"/><Relationship Id="rId19" Type="http://schemas.openxmlformats.org/officeDocument/2006/relationships/hyperlink" Target="mailto:ofcscc@senate.michigan.gov" TargetMode="External"/><Relationship Id="rId14" Type="http://schemas.openxmlformats.org/officeDocument/2006/relationships/hyperlink" Target="mailto:mwingrove@house.mi.gov" TargetMode="External"/><Relationship Id="rId22" Type="http://schemas.openxmlformats.org/officeDocument/2006/relationships/hyperlink" Target="https://www.legislature.mi.gov/(S(e4ihnuxkfysaw045lscxw30w))/mileg.aspx?page=getObject&amp;objectname=2021-HB-4009" TargetMode="External"/><Relationship Id="rId27" Type="http://schemas.openxmlformats.org/officeDocument/2006/relationships/hyperlink" Target="https://www.legislature.mi.gov/(S(e4ihnuxkfysaw045lscxw30w))/mileg.aspx?page=getObject&amp;objectname=2021-HB-4039" TargetMode="External"/><Relationship Id="rId30" Type="http://schemas.openxmlformats.org/officeDocument/2006/relationships/hyperlink" Target="https://www.legislature.mi.gov/(S(e4ihnuxkfysaw045lscxw30w))/mileg.aspx?page=getObject&amp;objectname=2021-HB-4061" TargetMode="External"/><Relationship Id="rId35" Type="http://schemas.openxmlformats.org/officeDocument/2006/relationships/hyperlink" Target="https://www.legislature.mi.gov/(S(e4ihnuxkfysaw045lscxw30w))/mileg.aspx?page=getObject&amp;objectname=2021-HB-4167" TargetMode="External"/><Relationship Id="rId43" Type="http://schemas.openxmlformats.org/officeDocument/2006/relationships/hyperlink" Target="https://www.legislature.mi.gov/(S(e4ihnuxkfysaw045lscxw30w))/mileg.aspx?page=getObject&amp;objectname=2021-SB-0024" TargetMode="External"/><Relationship Id="rId48" Type="http://schemas.openxmlformats.org/officeDocument/2006/relationships/hyperlink" Target="https://www.legislature.mi.gov/(S(e4ihnuxkfysaw045lscxw30w))/mileg.aspx?page=getObject&amp;objectname=2021-SB-0044" TargetMode="External"/><Relationship Id="rId56" Type="http://schemas.openxmlformats.org/officeDocument/2006/relationships/hyperlink" Target="https://www.legislature.mi.gov/(S(e4ihnuxkfysaw045lscxw30w))/mileg.aspx?page=getObject&amp;objectname=2021-SB-0083" TargetMode="External"/><Relationship Id="rId64" Type="http://schemas.openxmlformats.org/officeDocument/2006/relationships/hyperlink" Target="https://www.legislature.mi.gov/(S(e4ihnuxkfysaw045lscxw30w))/mileg.aspx?page=getObject&amp;objectname=2021-SB-0091" TargetMode="External"/><Relationship Id="rId69" Type="http://schemas.openxmlformats.org/officeDocument/2006/relationships/hyperlink" Target="https://www.legislature.mi.gov/(S(e4ihnuxkfysaw045lscxw30w))/mileg.aspx?page=getObject&amp;objectname=2021-SB-009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legislature.mi.gov/(S(e4ihnuxkfysaw045lscxw30w))/mileg.aspx?page=getObject&amp;objectname=2021-SB-0078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egislature.mi.gov/(S(ha0cqiaxcuzcthczlkkcfbs5))/mileg.aspx?page=getObject&amp;objectname=2021-HB-4171" TargetMode="External"/><Relationship Id="rId17" Type="http://schemas.openxmlformats.org/officeDocument/2006/relationships/hyperlink" Target="https://www.legislature.mi.gov/(S(ha0cqiaxcuzcthczlkkcfbs5))/mileg.aspx?page=getObject&amp;objectname=mcl-act-317-of-1968" TargetMode="External"/><Relationship Id="rId25" Type="http://schemas.openxmlformats.org/officeDocument/2006/relationships/hyperlink" Target="https://www.legislature.mi.gov/(S(e4ihnuxkfysaw045lscxw30w))/mileg.aspx?page=getObject&amp;objectname=2021-HB-4021" TargetMode="External"/><Relationship Id="rId33" Type="http://schemas.openxmlformats.org/officeDocument/2006/relationships/hyperlink" Target="https://www.legislature.mi.gov/(S(e4ihnuxkfysaw045lscxw30w))/mileg.aspx?page=getObject&amp;objectname=2021-HB-4083" TargetMode="External"/><Relationship Id="rId38" Type="http://schemas.openxmlformats.org/officeDocument/2006/relationships/hyperlink" Target="https://www.legislature.mi.gov/(S(e4ihnuxkfysaw045lscxw30w))/mileg.aspx?page=getObject&amp;objectname=2021-HB-4175" TargetMode="External"/><Relationship Id="rId46" Type="http://schemas.openxmlformats.org/officeDocument/2006/relationships/hyperlink" Target="https://www.legislature.mi.gov/(S(e4ihnuxkfysaw045lscxw30w))/mileg.aspx?page=getObject&amp;objectname=2021-SB-0028" TargetMode="External"/><Relationship Id="rId59" Type="http://schemas.openxmlformats.org/officeDocument/2006/relationships/hyperlink" Target="https://www.legislature.mi.gov/(S(e4ihnuxkfysaw045lscxw30w))/mileg.aspx?page=getObject&amp;objectname=2021-SB-0086" TargetMode="External"/><Relationship Id="rId67" Type="http://schemas.openxmlformats.org/officeDocument/2006/relationships/hyperlink" Target="https://www.legislature.mi.gov/(S(e4ihnuxkfysaw045lscxw30w))/mileg.aspx?page=getObject&amp;objectname=2021-SB-0094" TargetMode="External"/><Relationship Id="rId20" Type="http://schemas.openxmlformats.org/officeDocument/2006/relationships/hyperlink" Target="https://www.legislature.mi.gov/(S(e4ihnuxkfysaw045lscxw30w))/mileg.aspx?page=getObject&amp;objectname=2021-HB-4003" TargetMode="External"/><Relationship Id="rId41" Type="http://schemas.openxmlformats.org/officeDocument/2006/relationships/hyperlink" Target="https://www.legislature.mi.gov/(S(e4ihnuxkfysaw045lscxw30w))/mileg.aspx?page=getObject&amp;objectname=2021-SB-0017" TargetMode="External"/><Relationship Id="rId54" Type="http://schemas.openxmlformats.org/officeDocument/2006/relationships/hyperlink" Target="https://www.legislature.mi.gov/(S(e4ihnuxkfysaw045lscxw30w))/mileg.aspx?page=getObject&amp;objectname=2021-SB-0081" TargetMode="External"/><Relationship Id="rId62" Type="http://schemas.openxmlformats.org/officeDocument/2006/relationships/hyperlink" Target="https://www.legislature.mi.gov/(S(e4ihnuxkfysaw045lscxw30w))/mileg.aspx?page=getObject&amp;objectname=2021-SB-0089" TargetMode="External"/><Relationship Id="rId70" Type="http://schemas.openxmlformats.org/officeDocument/2006/relationships/hyperlink" Target="https://www.legislature.mi.gov/(S(e4ihnuxkfysaw045lscxw30w))/mileg.aspx?page=getObject&amp;objectname=2021-SB-011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legislature.mi.gov/(S(ha0cqiaxcuzcthczlkkcfbs5))/mileg.aspx?page=getObject&amp;objectname=2021-SB-0016" TargetMode="External"/><Relationship Id="rId23" Type="http://schemas.openxmlformats.org/officeDocument/2006/relationships/hyperlink" Target="https://www.legislature.mi.gov/(S(e4ihnuxkfysaw045lscxw30w))/mileg.aspx?page=getObject&amp;objectname=2021-HB-4018" TargetMode="External"/><Relationship Id="rId28" Type="http://schemas.openxmlformats.org/officeDocument/2006/relationships/hyperlink" Target="https://www.legislature.mi.gov/(S(e4ihnuxkfysaw045lscxw30w))/mileg.aspx?page=getObject&amp;objectname=2021-HB-4040" TargetMode="External"/><Relationship Id="rId36" Type="http://schemas.openxmlformats.org/officeDocument/2006/relationships/hyperlink" Target="https://www.legislature.mi.gov/(S(e4ihnuxkfysaw045lscxw30w))/mileg.aspx?page=getObject&amp;objectname=2021-HB-4171" TargetMode="External"/><Relationship Id="rId49" Type="http://schemas.openxmlformats.org/officeDocument/2006/relationships/hyperlink" Target="https://www.legislature.mi.gov/(S(e4ihnuxkfysaw045lscxw30w))/mileg.aspx?page=getObject&amp;objectname=2021-SB-0052" TargetMode="External"/><Relationship Id="rId57" Type="http://schemas.openxmlformats.org/officeDocument/2006/relationships/hyperlink" Target="https://www.legislature.mi.gov/(S(e4ihnuxkfysaw045lscxw30w))/mileg.aspx?page=getObject&amp;objectname=2021-SB-0084" TargetMode="External"/><Relationship Id="rId10" Type="http://schemas.openxmlformats.org/officeDocument/2006/relationships/hyperlink" Target="mailto:mcoffin@house.mi.gov" TargetMode="External"/><Relationship Id="rId31" Type="http://schemas.openxmlformats.org/officeDocument/2006/relationships/hyperlink" Target="https://www.legislature.mi.gov/(S(e4ihnuxkfysaw045lscxw30w))/mileg.aspx?page=getObject&amp;objectname=2021-HB-4070" TargetMode="External"/><Relationship Id="rId44" Type="http://schemas.openxmlformats.org/officeDocument/2006/relationships/hyperlink" Target="https://www.legislature.mi.gov/(S(e4ihnuxkfysaw045lscxw30w))/mileg.aspx?page=getObject&amp;objectname=2021-SB-0026" TargetMode="External"/><Relationship Id="rId52" Type="http://schemas.openxmlformats.org/officeDocument/2006/relationships/hyperlink" Target="https://www.legislature.mi.gov/(S(e4ihnuxkfysaw045lscxw30w))/mileg.aspx?page=getObject&amp;objectname=2021-SB-0079" TargetMode="External"/><Relationship Id="rId60" Type="http://schemas.openxmlformats.org/officeDocument/2006/relationships/hyperlink" Target="https://www.legislature.mi.gov/(S(e4ihnuxkfysaw045lscxw30w))/mileg.aspx?page=getObject&amp;objectname=2021-SB-0087" TargetMode="External"/><Relationship Id="rId65" Type="http://schemas.openxmlformats.org/officeDocument/2006/relationships/hyperlink" Target="https://www.legislature.mi.gov/(S(e4ihnuxkfysaw045lscxw30w))/mileg.aspx?page=getObject&amp;objectname=2021-SB-0092" TargetMode="Externa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legislature.mi.gov/(S(ha0cqiaxcuzcthczlkkcfbs5))/mileg.aspx?page=getObject&amp;objectname=2021-HB-4172" TargetMode="External"/><Relationship Id="rId18" Type="http://schemas.openxmlformats.org/officeDocument/2006/relationships/hyperlink" Target="mailto:mcarnagie@house.mi.gov" TargetMode="External"/><Relationship Id="rId39" Type="http://schemas.openxmlformats.org/officeDocument/2006/relationships/hyperlink" Target="https://www.legislature.mi.gov/(S(e4ihnuxkfysaw045lscxw30w))/mileg.aspx?page=getObject&amp;objectname=2021-HB-4176" TargetMode="External"/><Relationship Id="rId34" Type="http://schemas.openxmlformats.org/officeDocument/2006/relationships/hyperlink" Target="https://www.legislature.mi.gov/(S(e4ihnuxkfysaw045lscxw30w))/mileg.aspx?page=getObject&amp;objectname=2021-HB-4087" TargetMode="External"/><Relationship Id="rId50" Type="http://schemas.openxmlformats.org/officeDocument/2006/relationships/hyperlink" Target="https://www.legislature.mi.gov/(S(e4ihnuxkfysaw045lscxw30w))/mileg.aspx?page=getObject&amp;objectname=2021-SB-0076" TargetMode="External"/><Relationship Id="rId55" Type="http://schemas.openxmlformats.org/officeDocument/2006/relationships/hyperlink" Target="https://www.legislature.mi.gov/(S(e4ihnuxkfysaw045lscxw30w))/mileg.aspx?page=getObject&amp;objectname=2021-SB-008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legislature.mi.gov/(S(e4ihnuxkfysaw045lscxw30w))/mileg.aspx?page=getObject&amp;objectname=2021-HB-4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601A0FFA354E846FB60013769C81" ma:contentTypeVersion="12" ma:contentTypeDescription="Create a new document." ma:contentTypeScope="" ma:versionID="10f47919acf98f980cc817eb662262e5">
  <xsd:schema xmlns:xsd="http://www.w3.org/2001/XMLSchema" xmlns:xs="http://www.w3.org/2001/XMLSchema" xmlns:p="http://schemas.microsoft.com/office/2006/metadata/properties" xmlns:ns2="3f50f3bc-86c5-486d-a2ef-8363eb65d275" xmlns:ns3="3c09a8a0-d2e1-4e07-8488-ba4f942e4d00" targetNamespace="http://schemas.microsoft.com/office/2006/metadata/properties" ma:root="true" ma:fieldsID="cf43c66e2932ef0342b7315dd6bd3792" ns2:_="" ns3:_="">
    <xsd:import namespace="3f50f3bc-86c5-486d-a2ef-8363eb65d275"/>
    <xsd:import namespace="3c09a8a0-d2e1-4e07-8488-ba4f942e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0f3bc-86c5-486d-a2ef-8363eb65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8a0-d2e1-4e07-8488-ba4f942e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8EEB6-B47F-461F-A546-431BE4D43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864E4-AC5F-4989-915E-7A045B1B2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04902-6F78-4B99-A4F7-F987E38AE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0f3bc-86c5-486d-a2ef-8363eb65d275"/>
    <ds:schemaRef ds:uri="3c09a8a0-d2e1-4e07-8488-ba4f942e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Melissa McKinley</cp:lastModifiedBy>
  <cp:revision>14</cp:revision>
  <dcterms:created xsi:type="dcterms:W3CDTF">2021-02-12T23:31:00Z</dcterms:created>
  <dcterms:modified xsi:type="dcterms:W3CDTF">2021-02-14T22:38:00Z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0x010100901B601A0FFA354E846FB60013769C81</vt:lpwstr>
  </property>
</Properties>
</file>